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28479" w14:textId="77777777" w:rsidR="00B65277" w:rsidRDefault="00B65277">
      <w:pPr>
        <w:rPr>
          <w:rFonts w:ascii="Arial" w:hAnsi="Arial" w:cs="Arial"/>
          <w:b/>
          <w:bCs/>
          <w:sz w:val="24"/>
          <w:szCs w:val="24"/>
        </w:rPr>
      </w:pPr>
    </w:p>
    <w:p w14:paraId="29B14BB0" w14:textId="44AE8B4B" w:rsidR="000F0DF2" w:rsidRDefault="00113DE4">
      <w:pPr>
        <w:rPr>
          <w:rFonts w:ascii="Arial" w:hAnsi="Arial" w:cs="Arial"/>
          <w:b/>
          <w:bCs/>
          <w:sz w:val="24"/>
          <w:szCs w:val="24"/>
        </w:rPr>
      </w:pPr>
      <w:r>
        <w:rPr>
          <w:rFonts w:ascii="Arial" w:hAnsi="Arial" w:cs="Arial"/>
          <w:b/>
          <w:bCs/>
          <w:sz w:val="24"/>
          <w:szCs w:val="24"/>
        </w:rPr>
        <w:t>R</w:t>
      </w:r>
      <w:r w:rsidR="000F0DF2" w:rsidRPr="000F0DF2">
        <w:rPr>
          <w:rFonts w:ascii="Arial" w:hAnsi="Arial" w:cs="Arial"/>
          <w:b/>
          <w:bCs/>
          <w:sz w:val="24"/>
          <w:szCs w:val="24"/>
        </w:rPr>
        <w:t>ODBOROUGH MANOR (HILL HOUSE)</w:t>
      </w:r>
    </w:p>
    <w:p w14:paraId="7B881E19" w14:textId="45E6A28F" w:rsidR="000F0DF2" w:rsidRDefault="000F0DF2">
      <w:pPr>
        <w:rPr>
          <w:rFonts w:ascii="Arial" w:hAnsi="Arial" w:cs="Arial"/>
          <w:sz w:val="24"/>
          <w:szCs w:val="24"/>
        </w:rPr>
      </w:pPr>
      <w:r>
        <w:rPr>
          <w:rFonts w:ascii="Arial" w:hAnsi="Arial" w:cs="Arial"/>
          <w:sz w:val="24"/>
          <w:szCs w:val="24"/>
          <w:u w:val="single"/>
        </w:rPr>
        <w:t>Summary</w:t>
      </w:r>
    </w:p>
    <w:p w14:paraId="3BF72636" w14:textId="68CC44CA" w:rsidR="000F0DF2" w:rsidRDefault="000F0DF2">
      <w:pPr>
        <w:rPr>
          <w:rFonts w:ascii="Arial" w:hAnsi="Arial" w:cs="Arial"/>
          <w:sz w:val="24"/>
          <w:szCs w:val="24"/>
        </w:rPr>
      </w:pPr>
      <w:r>
        <w:rPr>
          <w:rFonts w:ascii="Arial" w:hAnsi="Arial" w:cs="Arial"/>
          <w:sz w:val="24"/>
          <w:szCs w:val="24"/>
        </w:rPr>
        <w:t>There are records for the Hill House (initially known as Hill Living) estate going back at least to 1651</w:t>
      </w:r>
      <w:r w:rsidR="009D36B0">
        <w:rPr>
          <w:rStyle w:val="FootnoteReference"/>
          <w:rFonts w:ascii="Arial" w:hAnsi="Arial" w:cs="Arial"/>
          <w:sz w:val="24"/>
          <w:szCs w:val="24"/>
        </w:rPr>
        <w:footnoteReference w:id="1"/>
      </w:r>
      <w:r>
        <w:rPr>
          <w:rFonts w:ascii="Arial" w:hAnsi="Arial" w:cs="Arial"/>
          <w:sz w:val="24"/>
          <w:szCs w:val="24"/>
        </w:rPr>
        <w:t xml:space="preserve">. It changed hands several times before being bought in 1757 by Woodchester clothier </w:t>
      </w:r>
      <w:r w:rsidR="00F33CF2">
        <w:rPr>
          <w:rFonts w:ascii="Arial" w:hAnsi="Arial" w:cs="Arial"/>
          <w:sz w:val="24"/>
          <w:szCs w:val="24"/>
        </w:rPr>
        <w:t xml:space="preserve">Sir </w:t>
      </w:r>
      <w:r>
        <w:rPr>
          <w:rFonts w:ascii="Arial" w:hAnsi="Arial" w:cs="Arial"/>
          <w:sz w:val="24"/>
          <w:szCs w:val="24"/>
        </w:rPr>
        <w:t>Onesiphor</w:t>
      </w:r>
      <w:r w:rsidR="00C61F91">
        <w:rPr>
          <w:rFonts w:ascii="Arial" w:hAnsi="Arial" w:cs="Arial"/>
          <w:sz w:val="24"/>
          <w:szCs w:val="24"/>
        </w:rPr>
        <w:t>u</w:t>
      </w:r>
      <w:r>
        <w:rPr>
          <w:rFonts w:ascii="Arial" w:hAnsi="Arial" w:cs="Arial"/>
          <w:sz w:val="24"/>
          <w:szCs w:val="24"/>
        </w:rPr>
        <w:t>s Paul who built a new villa there.  His son, also Onesiphorus, inherited both the business and the estate in 1774 (he ad</w:t>
      </w:r>
      <w:r w:rsidR="00F33CF2">
        <w:rPr>
          <w:rFonts w:ascii="Arial" w:hAnsi="Arial" w:cs="Arial"/>
          <w:sz w:val="24"/>
          <w:szCs w:val="24"/>
        </w:rPr>
        <w:t>opted</w:t>
      </w:r>
      <w:r>
        <w:rPr>
          <w:rFonts w:ascii="Arial" w:hAnsi="Arial" w:cs="Arial"/>
          <w:sz w:val="24"/>
          <w:szCs w:val="24"/>
        </w:rPr>
        <w:t xml:space="preserve"> the first name George in 1780)</w:t>
      </w:r>
      <w:r w:rsidR="00305CA1">
        <w:rPr>
          <w:rFonts w:ascii="Arial" w:hAnsi="Arial" w:cs="Arial"/>
          <w:sz w:val="24"/>
          <w:szCs w:val="24"/>
        </w:rPr>
        <w:t>.</w:t>
      </w:r>
      <w:r>
        <w:rPr>
          <w:rFonts w:ascii="Arial" w:hAnsi="Arial" w:cs="Arial"/>
          <w:sz w:val="24"/>
          <w:szCs w:val="24"/>
        </w:rPr>
        <w:t xml:space="preserve"> </w:t>
      </w:r>
      <w:r w:rsidR="00F33CF2">
        <w:rPr>
          <w:rFonts w:ascii="Arial" w:hAnsi="Arial" w:cs="Arial"/>
          <w:sz w:val="24"/>
          <w:szCs w:val="24"/>
        </w:rPr>
        <w:t xml:space="preserve"> Sir George</w:t>
      </w:r>
      <w:r w:rsidR="00094CCC">
        <w:rPr>
          <w:rFonts w:ascii="Arial" w:hAnsi="Arial" w:cs="Arial"/>
          <w:sz w:val="24"/>
          <w:szCs w:val="24"/>
        </w:rPr>
        <w:t xml:space="preserve">, who became a </w:t>
      </w:r>
      <w:r w:rsidR="00113DE4">
        <w:rPr>
          <w:rFonts w:ascii="Arial" w:hAnsi="Arial" w:cs="Arial"/>
          <w:sz w:val="24"/>
          <w:szCs w:val="24"/>
        </w:rPr>
        <w:t>key</w:t>
      </w:r>
      <w:r w:rsidR="00094CCC">
        <w:rPr>
          <w:rFonts w:ascii="Arial" w:hAnsi="Arial" w:cs="Arial"/>
          <w:sz w:val="24"/>
          <w:szCs w:val="24"/>
        </w:rPr>
        <w:t xml:space="preserve"> penal reformer,</w:t>
      </w:r>
      <w:r w:rsidR="00F33CF2">
        <w:rPr>
          <w:rFonts w:ascii="Arial" w:hAnsi="Arial" w:cs="Arial"/>
          <w:sz w:val="24"/>
          <w:szCs w:val="24"/>
        </w:rPr>
        <w:t xml:space="preserve"> made</w:t>
      </w:r>
      <w:r w:rsidR="009378BF">
        <w:rPr>
          <w:rFonts w:ascii="Arial" w:hAnsi="Arial" w:cs="Arial"/>
          <w:sz w:val="24"/>
          <w:szCs w:val="24"/>
        </w:rPr>
        <w:t xml:space="preserve"> major</w:t>
      </w:r>
      <w:r w:rsidR="00F33CF2">
        <w:rPr>
          <w:rFonts w:ascii="Arial" w:hAnsi="Arial" w:cs="Arial"/>
          <w:sz w:val="24"/>
          <w:szCs w:val="24"/>
        </w:rPr>
        <w:t xml:space="preserve"> alterations to the house and grounds in 1784-92</w:t>
      </w:r>
      <w:r w:rsidR="00094CCC">
        <w:rPr>
          <w:rFonts w:ascii="Arial" w:hAnsi="Arial" w:cs="Arial"/>
          <w:sz w:val="24"/>
          <w:szCs w:val="24"/>
        </w:rPr>
        <w:t xml:space="preserve">. </w:t>
      </w:r>
      <w:r w:rsidR="00F33CF2">
        <w:rPr>
          <w:rFonts w:ascii="Arial" w:hAnsi="Arial" w:cs="Arial"/>
          <w:sz w:val="24"/>
          <w:szCs w:val="24"/>
        </w:rPr>
        <w:t>The house</w:t>
      </w:r>
      <w:r w:rsidR="00414C79">
        <w:rPr>
          <w:rFonts w:ascii="Arial" w:hAnsi="Arial" w:cs="Arial"/>
          <w:sz w:val="24"/>
          <w:szCs w:val="24"/>
        </w:rPr>
        <w:t xml:space="preserve"> descended within the family until </w:t>
      </w:r>
      <w:r w:rsidR="00F33CF2">
        <w:rPr>
          <w:rFonts w:ascii="Arial" w:hAnsi="Arial" w:cs="Arial"/>
          <w:sz w:val="24"/>
          <w:szCs w:val="24"/>
        </w:rPr>
        <w:t xml:space="preserve">sold in 1854 and went through several more hands </w:t>
      </w:r>
      <w:r w:rsidR="00305CA1">
        <w:rPr>
          <w:rFonts w:ascii="Arial" w:hAnsi="Arial" w:cs="Arial"/>
          <w:sz w:val="24"/>
          <w:szCs w:val="24"/>
        </w:rPr>
        <w:t xml:space="preserve">(including </w:t>
      </w:r>
      <w:r w:rsidR="00113DE4">
        <w:rPr>
          <w:rFonts w:ascii="Arial" w:hAnsi="Arial" w:cs="Arial"/>
          <w:sz w:val="24"/>
          <w:szCs w:val="24"/>
        </w:rPr>
        <w:t xml:space="preserve">those of </w:t>
      </w:r>
      <w:r w:rsidR="00305CA1">
        <w:rPr>
          <w:rFonts w:ascii="Arial" w:hAnsi="Arial" w:cs="Arial"/>
          <w:sz w:val="24"/>
          <w:szCs w:val="24"/>
        </w:rPr>
        <w:t xml:space="preserve">Lord John Russell, later Prime Minister) </w:t>
      </w:r>
      <w:r w:rsidR="00F33CF2">
        <w:rPr>
          <w:rFonts w:ascii="Arial" w:hAnsi="Arial" w:cs="Arial"/>
          <w:sz w:val="24"/>
          <w:szCs w:val="24"/>
        </w:rPr>
        <w:t xml:space="preserve">before being bought by the clothier Sir William Marling in 1889; </w:t>
      </w:r>
      <w:r w:rsidR="00113DE4">
        <w:rPr>
          <w:rFonts w:ascii="Arial" w:hAnsi="Arial" w:cs="Arial"/>
          <w:sz w:val="24"/>
          <w:szCs w:val="24"/>
        </w:rPr>
        <w:t>Marlin</w:t>
      </w:r>
      <w:r w:rsidR="004B308D">
        <w:rPr>
          <w:rFonts w:ascii="Arial" w:hAnsi="Arial" w:cs="Arial"/>
          <w:sz w:val="24"/>
          <w:szCs w:val="24"/>
        </w:rPr>
        <w:t>g</w:t>
      </w:r>
      <w:r w:rsidR="00113DE4">
        <w:rPr>
          <w:rFonts w:ascii="Arial" w:hAnsi="Arial" w:cs="Arial"/>
          <w:sz w:val="24"/>
          <w:szCs w:val="24"/>
        </w:rPr>
        <w:t>’s</w:t>
      </w:r>
      <w:r w:rsidR="00F33CF2">
        <w:rPr>
          <w:rFonts w:ascii="Arial" w:hAnsi="Arial" w:cs="Arial"/>
          <w:sz w:val="24"/>
          <w:szCs w:val="24"/>
        </w:rPr>
        <w:t xml:space="preserve"> </w:t>
      </w:r>
      <w:r w:rsidR="004B308D">
        <w:rPr>
          <w:rFonts w:ascii="Arial" w:hAnsi="Arial" w:cs="Arial"/>
          <w:sz w:val="24"/>
          <w:szCs w:val="24"/>
        </w:rPr>
        <w:t xml:space="preserve">S S Marling </w:t>
      </w:r>
      <w:r w:rsidR="00F33CF2">
        <w:rPr>
          <w:rFonts w:ascii="Arial" w:hAnsi="Arial" w:cs="Arial"/>
          <w:sz w:val="24"/>
          <w:szCs w:val="24"/>
        </w:rPr>
        <w:t>son was the owner in 1906 when the house was burnt to a shell. The house was then left to decay until 192</w:t>
      </w:r>
      <w:r w:rsidR="00775D6F">
        <w:rPr>
          <w:rFonts w:ascii="Arial" w:hAnsi="Arial" w:cs="Arial"/>
          <w:sz w:val="24"/>
          <w:szCs w:val="24"/>
        </w:rPr>
        <w:t>2</w:t>
      </w:r>
      <w:r w:rsidR="00F33CF2">
        <w:rPr>
          <w:rFonts w:ascii="Arial" w:hAnsi="Arial" w:cs="Arial"/>
          <w:sz w:val="24"/>
          <w:szCs w:val="24"/>
        </w:rPr>
        <w:t xml:space="preserve"> when</w:t>
      </w:r>
      <w:r w:rsidR="002616FF">
        <w:rPr>
          <w:rFonts w:ascii="Arial" w:hAnsi="Arial" w:cs="Arial"/>
          <w:sz w:val="24"/>
          <w:szCs w:val="24"/>
        </w:rPr>
        <w:t xml:space="preserve"> the central part of the main front</w:t>
      </w:r>
      <w:r w:rsidR="00F33CF2">
        <w:rPr>
          <w:rFonts w:ascii="Arial" w:hAnsi="Arial" w:cs="Arial"/>
          <w:sz w:val="24"/>
          <w:szCs w:val="24"/>
        </w:rPr>
        <w:t xml:space="preserve"> </w:t>
      </w:r>
      <w:r w:rsidR="00E60A2B">
        <w:rPr>
          <w:rFonts w:ascii="Arial" w:hAnsi="Arial" w:cs="Arial"/>
          <w:sz w:val="24"/>
          <w:szCs w:val="24"/>
        </w:rPr>
        <w:t xml:space="preserve">was </w:t>
      </w:r>
      <w:r w:rsidR="00F33CF2">
        <w:rPr>
          <w:rFonts w:ascii="Arial" w:hAnsi="Arial" w:cs="Arial"/>
          <w:sz w:val="24"/>
          <w:szCs w:val="24"/>
        </w:rPr>
        <w:t>rebuilt on a much small</w:t>
      </w:r>
      <w:r w:rsidR="00E60A2B">
        <w:rPr>
          <w:rFonts w:ascii="Arial" w:hAnsi="Arial" w:cs="Arial"/>
          <w:sz w:val="24"/>
          <w:szCs w:val="24"/>
        </w:rPr>
        <w:t>er</w:t>
      </w:r>
      <w:r w:rsidR="00F33CF2">
        <w:rPr>
          <w:rFonts w:ascii="Arial" w:hAnsi="Arial" w:cs="Arial"/>
          <w:sz w:val="24"/>
          <w:szCs w:val="24"/>
        </w:rPr>
        <w:t xml:space="preserve"> scale</w:t>
      </w:r>
      <w:r w:rsidR="00775D6F">
        <w:rPr>
          <w:rStyle w:val="FootnoteReference"/>
          <w:rFonts w:ascii="Arial" w:hAnsi="Arial" w:cs="Arial"/>
          <w:sz w:val="24"/>
          <w:szCs w:val="24"/>
        </w:rPr>
        <w:footnoteReference w:id="2"/>
      </w:r>
      <w:r w:rsidR="00F33CF2">
        <w:rPr>
          <w:rFonts w:ascii="Arial" w:hAnsi="Arial" w:cs="Arial"/>
          <w:sz w:val="24"/>
          <w:szCs w:val="24"/>
        </w:rPr>
        <w:t xml:space="preserve"> by egg incubator manufacturer E Lee Godfrey. </w:t>
      </w:r>
      <w:r w:rsidR="002616FF">
        <w:rPr>
          <w:rFonts w:ascii="Arial" w:hAnsi="Arial" w:cs="Arial"/>
          <w:sz w:val="24"/>
          <w:szCs w:val="24"/>
        </w:rPr>
        <w:t>A new second dwelling based on the west side of the house was created in 1952 and the coach and stable block has also been developed into a single dwelling</w:t>
      </w:r>
      <w:r w:rsidR="00F33CF2">
        <w:rPr>
          <w:rFonts w:ascii="Arial" w:hAnsi="Arial" w:cs="Arial"/>
          <w:sz w:val="24"/>
          <w:szCs w:val="24"/>
        </w:rPr>
        <w:t xml:space="preserve">. </w:t>
      </w:r>
      <w:r w:rsidR="00305CA1">
        <w:rPr>
          <w:rFonts w:ascii="Arial" w:hAnsi="Arial" w:cs="Arial"/>
          <w:sz w:val="24"/>
          <w:szCs w:val="24"/>
        </w:rPr>
        <w:t>However, t</w:t>
      </w:r>
      <w:r w:rsidR="00F33CF2">
        <w:rPr>
          <w:rFonts w:ascii="Arial" w:hAnsi="Arial" w:cs="Arial"/>
          <w:sz w:val="24"/>
          <w:szCs w:val="24"/>
        </w:rPr>
        <w:t xml:space="preserve">he </w:t>
      </w:r>
      <w:r w:rsidR="004B308D">
        <w:rPr>
          <w:rFonts w:ascii="Arial" w:hAnsi="Arial" w:cs="Arial"/>
          <w:sz w:val="24"/>
          <w:szCs w:val="24"/>
        </w:rPr>
        <w:t xml:space="preserve">late C18 </w:t>
      </w:r>
      <w:r w:rsidR="00F33CF2">
        <w:rPr>
          <w:rFonts w:ascii="Arial" w:hAnsi="Arial" w:cs="Arial"/>
          <w:sz w:val="24"/>
          <w:szCs w:val="24"/>
        </w:rPr>
        <w:t xml:space="preserve">landscaped park, </w:t>
      </w:r>
      <w:r w:rsidR="004B308D">
        <w:rPr>
          <w:rFonts w:ascii="Arial" w:hAnsi="Arial" w:cs="Arial"/>
          <w:sz w:val="24"/>
          <w:szCs w:val="24"/>
        </w:rPr>
        <w:t xml:space="preserve">with its </w:t>
      </w:r>
      <w:r w:rsidR="00F33CF2">
        <w:rPr>
          <w:rFonts w:ascii="Arial" w:hAnsi="Arial" w:cs="Arial"/>
          <w:sz w:val="24"/>
          <w:szCs w:val="24"/>
        </w:rPr>
        <w:t xml:space="preserve">winding woodland walk and eyecatcher </w:t>
      </w:r>
      <w:r w:rsidR="00305CA1">
        <w:rPr>
          <w:rFonts w:ascii="Arial" w:hAnsi="Arial" w:cs="Arial"/>
          <w:sz w:val="24"/>
          <w:szCs w:val="24"/>
        </w:rPr>
        <w:t>Gothick archway</w:t>
      </w:r>
      <w:r w:rsidR="004B308D">
        <w:rPr>
          <w:rFonts w:ascii="Arial" w:hAnsi="Arial" w:cs="Arial"/>
          <w:sz w:val="24"/>
          <w:szCs w:val="24"/>
        </w:rPr>
        <w:t>,</w:t>
      </w:r>
      <w:r w:rsidR="00305CA1">
        <w:rPr>
          <w:rFonts w:ascii="Arial" w:hAnsi="Arial" w:cs="Arial"/>
          <w:sz w:val="24"/>
          <w:szCs w:val="24"/>
        </w:rPr>
        <w:t xml:space="preserve"> </w:t>
      </w:r>
      <w:r w:rsidR="00E60A2B">
        <w:rPr>
          <w:rFonts w:ascii="Arial" w:hAnsi="Arial" w:cs="Arial"/>
          <w:sz w:val="24"/>
          <w:szCs w:val="24"/>
        </w:rPr>
        <w:t>survive</w:t>
      </w:r>
      <w:r w:rsidR="004B308D">
        <w:rPr>
          <w:rFonts w:ascii="Arial" w:hAnsi="Arial" w:cs="Arial"/>
          <w:sz w:val="24"/>
          <w:szCs w:val="24"/>
        </w:rPr>
        <w:t>s</w:t>
      </w:r>
      <w:r w:rsidR="002616FF">
        <w:rPr>
          <w:rFonts w:ascii="Arial" w:hAnsi="Arial" w:cs="Arial"/>
          <w:sz w:val="24"/>
          <w:szCs w:val="24"/>
        </w:rPr>
        <w:t>, as does a fountain pool within the domestic curtilage.</w:t>
      </w:r>
    </w:p>
    <w:p w14:paraId="1BCE0A7F" w14:textId="4320D0CC" w:rsidR="00305CA1" w:rsidRDefault="00305CA1">
      <w:pPr>
        <w:rPr>
          <w:rFonts w:ascii="Arial" w:hAnsi="Arial" w:cs="Arial"/>
          <w:sz w:val="24"/>
          <w:szCs w:val="24"/>
        </w:rPr>
      </w:pPr>
      <w:r w:rsidRPr="00305CA1">
        <w:rPr>
          <w:rFonts w:ascii="Arial" w:hAnsi="Arial" w:cs="Arial"/>
          <w:sz w:val="24"/>
          <w:szCs w:val="24"/>
          <w:u w:val="single"/>
        </w:rPr>
        <w:t>The House</w:t>
      </w:r>
    </w:p>
    <w:p w14:paraId="779DDB82" w14:textId="6A00C3FD" w:rsidR="006B031E" w:rsidRDefault="00D240DE">
      <w:pPr>
        <w:rPr>
          <w:rFonts w:ascii="Arial" w:hAnsi="Arial" w:cs="Arial"/>
          <w:sz w:val="24"/>
          <w:szCs w:val="24"/>
        </w:rPr>
      </w:pPr>
      <w:r>
        <w:rPr>
          <w:rFonts w:ascii="Arial" w:hAnsi="Arial" w:cs="Arial"/>
          <w:sz w:val="24"/>
          <w:szCs w:val="24"/>
        </w:rPr>
        <w:t>Fig 1</w:t>
      </w:r>
      <w:r w:rsidR="006B031E">
        <w:rPr>
          <w:rFonts w:ascii="Arial" w:hAnsi="Arial" w:cs="Arial"/>
          <w:sz w:val="24"/>
          <w:szCs w:val="24"/>
        </w:rPr>
        <w:t xml:space="preserve"> shows the house as offered for sale in 18</w:t>
      </w:r>
      <w:r>
        <w:rPr>
          <w:rFonts w:ascii="Arial" w:hAnsi="Arial" w:cs="Arial"/>
          <w:sz w:val="24"/>
          <w:szCs w:val="24"/>
        </w:rPr>
        <w:t>89</w:t>
      </w:r>
      <w:r w:rsidR="00333AB5">
        <w:rPr>
          <w:rStyle w:val="FootnoteReference"/>
          <w:rFonts w:ascii="Arial" w:hAnsi="Arial" w:cs="Arial"/>
          <w:sz w:val="24"/>
          <w:szCs w:val="24"/>
        </w:rPr>
        <w:footnoteReference w:id="3"/>
      </w:r>
      <w:r w:rsidR="006B031E">
        <w:rPr>
          <w:rFonts w:ascii="Arial" w:hAnsi="Arial" w:cs="Arial"/>
          <w:sz w:val="24"/>
          <w:szCs w:val="24"/>
        </w:rPr>
        <w:t xml:space="preserve">. </w:t>
      </w:r>
      <w:r w:rsidR="005041E1">
        <w:rPr>
          <w:rFonts w:ascii="Arial" w:hAnsi="Arial" w:cs="Arial"/>
          <w:sz w:val="24"/>
          <w:szCs w:val="24"/>
        </w:rPr>
        <w:t>T</w:t>
      </w:r>
      <w:r w:rsidR="006B031E">
        <w:rPr>
          <w:rFonts w:ascii="Arial" w:hAnsi="Arial" w:cs="Arial"/>
          <w:sz w:val="24"/>
          <w:szCs w:val="24"/>
        </w:rPr>
        <w:t xml:space="preserve">he central 5 bays </w:t>
      </w:r>
      <w:r w:rsidR="005041E1">
        <w:rPr>
          <w:rFonts w:ascii="Arial" w:hAnsi="Arial" w:cs="Arial"/>
          <w:sz w:val="24"/>
          <w:szCs w:val="24"/>
        </w:rPr>
        <w:t>may have been</w:t>
      </w:r>
      <w:r w:rsidR="006B031E">
        <w:rPr>
          <w:rFonts w:ascii="Arial" w:hAnsi="Arial" w:cs="Arial"/>
          <w:sz w:val="24"/>
          <w:szCs w:val="24"/>
        </w:rPr>
        <w:t xml:space="preserve"> formed from Sir O Paul’s original villa</w:t>
      </w:r>
      <w:r w:rsidR="005041E1">
        <w:rPr>
          <w:rFonts w:ascii="Arial" w:hAnsi="Arial" w:cs="Arial"/>
          <w:sz w:val="24"/>
          <w:szCs w:val="24"/>
        </w:rPr>
        <w:t>, and the wings added as part of Sir George’s campaign of 1784-92</w:t>
      </w:r>
      <w:r w:rsidR="009378BF">
        <w:rPr>
          <w:rStyle w:val="FootnoteReference"/>
          <w:rFonts w:ascii="Arial" w:hAnsi="Arial" w:cs="Arial"/>
          <w:sz w:val="24"/>
          <w:szCs w:val="24"/>
        </w:rPr>
        <w:footnoteReference w:id="4"/>
      </w:r>
      <w:r w:rsidR="005041E1">
        <w:rPr>
          <w:rFonts w:ascii="Arial" w:hAnsi="Arial" w:cs="Arial"/>
          <w:sz w:val="24"/>
          <w:szCs w:val="24"/>
        </w:rPr>
        <w:t xml:space="preserve"> when he employed architect Anthony Keck. The wide stone portico was added later either by him or by his nephew who inherited in 1820</w:t>
      </w:r>
      <w:r w:rsidR="005041E1">
        <w:rPr>
          <w:rStyle w:val="FootnoteReference"/>
          <w:rFonts w:ascii="Arial" w:hAnsi="Arial" w:cs="Arial"/>
          <w:sz w:val="24"/>
          <w:szCs w:val="24"/>
        </w:rPr>
        <w:footnoteReference w:id="5"/>
      </w:r>
      <w:r w:rsidR="005041E1">
        <w:rPr>
          <w:rFonts w:ascii="Arial" w:hAnsi="Arial" w:cs="Arial"/>
          <w:sz w:val="24"/>
          <w:szCs w:val="24"/>
        </w:rPr>
        <w:t>.</w:t>
      </w:r>
    </w:p>
    <w:p w14:paraId="1CBE72CD" w14:textId="73ABDC73" w:rsidR="00416DB1" w:rsidRDefault="00B45BFC" w:rsidP="009918E3">
      <w:pPr>
        <w:rPr>
          <w:rFonts w:ascii="Arial" w:hAnsi="Arial" w:cs="Arial"/>
          <w:sz w:val="24"/>
          <w:szCs w:val="24"/>
          <w:u w:val="single"/>
        </w:rPr>
      </w:pPr>
      <w:r>
        <w:rPr>
          <w:rFonts w:ascii="Arial" w:hAnsi="Arial" w:cs="Arial"/>
          <w:sz w:val="24"/>
          <w:szCs w:val="24"/>
        </w:rPr>
        <w:lastRenderedPageBreak/>
        <w:t xml:space="preserve">Internally, the main entrance gave access to an entrance hall extending the full width of the 5 bay centre (nearly 50ft), with a pair of elaborate marble chimneypieces, </w:t>
      </w:r>
      <w:r w:rsidR="00D240DE">
        <w:rPr>
          <w:rFonts w:ascii="Arial" w:hAnsi="Arial" w:cs="Arial"/>
          <w:sz w:val="24"/>
          <w:szCs w:val="24"/>
        </w:rPr>
        <w:t>plasterwork overmantels and overdoors and a fine dentilled ceiling cornice – possibly surviving from Sir G Paul’s time.  Behind the hall was a top-lit cantilevered stone stair,</w:t>
      </w:r>
      <w:r w:rsidR="00893D3C" w:rsidRPr="00893D3C">
        <w:t xml:space="preserve"> </w:t>
      </w:r>
      <w:r w:rsidR="00893D3C" w:rsidRPr="00893D3C">
        <w:rPr>
          <w:rFonts w:ascii="Arial" w:hAnsi="Arial" w:cs="Arial"/>
          <w:sz w:val="24"/>
          <w:szCs w:val="24"/>
        </w:rPr>
        <w:t>rising in a semicircle around a large alcove, the walls and ceiling of which were</w:t>
      </w:r>
      <w:r w:rsidR="007B14E3">
        <w:rPr>
          <w:rFonts w:ascii="Arial" w:hAnsi="Arial" w:cs="Arial"/>
          <w:sz w:val="24"/>
          <w:szCs w:val="24"/>
        </w:rPr>
        <w:t xml:space="preserve"> </w:t>
      </w:r>
      <w:r>
        <w:rPr>
          <w:rFonts w:ascii="Arial" w:hAnsi="Arial" w:cs="Arial"/>
          <w:sz w:val="24"/>
          <w:szCs w:val="24"/>
        </w:rPr>
        <w:t xml:space="preserve">decorated with chaste plasterwork and apparently painted allegorical scenes. </w:t>
      </w:r>
      <w:r w:rsidR="006A35D4">
        <w:rPr>
          <w:rFonts w:ascii="Arial" w:hAnsi="Arial" w:cs="Arial"/>
          <w:sz w:val="24"/>
          <w:szCs w:val="24"/>
        </w:rPr>
        <w:t>The principal Georgian rooms were, t</w:t>
      </w:r>
      <w:r>
        <w:rPr>
          <w:rFonts w:ascii="Arial" w:hAnsi="Arial" w:cs="Arial"/>
          <w:sz w:val="24"/>
          <w:szCs w:val="24"/>
        </w:rPr>
        <w:t>o either side of the hall</w:t>
      </w:r>
      <w:r w:rsidR="006A35D4">
        <w:rPr>
          <w:rFonts w:ascii="Arial" w:hAnsi="Arial" w:cs="Arial"/>
          <w:sz w:val="24"/>
          <w:szCs w:val="24"/>
        </w:rPr>
        <w:t>,</w:t>
      </w:r>
      <w:r>
        <w:rPr>
          <w:rFonts w:ascii="Arial" w:hAnsi="Arial" w:cs="Arial"/>
          <w:sz w:val="24"/>
          <w:szCs w:val="24"/>
        </w:rPr>
        <w:t xml:space="preserve"> the dining and drawing rooms</w:t>
      </w:r>
      <w:r w:rsidR="006A35D4">
        <w:rPr>
          <w:rFonts w:ascii="Arial" w:hAnsi="Arial" w:cs="Arial"/>
          <w:sz w:val="24"/>
          <w:szCs w:val="24"/>
        </w:rPr>
        <w:t>.</w:t>
      </w:r>
      <w:r>
        <w:rPr>
          <w:rFonts w:ascii="Arial" w:hAnsi="Arial" w:cs="Arial"/>
          <w:sz w:val="24"/>
          <w:szCs w:val="24"/>
        </w:rPr>
        <w:t xml:space="preserve"> The drawing room had a fine marble chimneypiece, leading to two more reception rooms along the west front: a music room </w:t>
      </w:r>
      <w:r w:rsidR="008E79CF">
        <w:rPr>
          <w:rFonts w:ascii="Arial" w:hAnsi="Arial" w:cs="Arial"/>
          <w:sz w:val="24"/>
          <w:szCs w:val="24"/>
        </w:rPr>
        <w:t>(</w:t>
      </w:r>
      <w:r>
        <w:rPr>
          <w:rFonts w:ascii="Arial" w:hAnsi="Arial" w:cs="Arial"/>
          <w:sz w:val="24"/>
          <w:szCs w:val="24"/>
        </w:rPr>
        <w:t>dominated by a large semi</w:t>
      </w:r>
      <w:r w:rsidR="006A35D4">
        <w:rPr>
          <w:rFonts w:ascii="Arial" w:hAnsi="Arial" w:cs="Arial"/>
          <w:sz w:val="24"/>
          <w:szCs w:val="24"/>
        </w:rPr>
        <w:t>-</w:t>
      </w:r>
      <w:r>
        <w:rPr>
          <w:rFonts w:ascii="Arial" w:hAnsi="Arial" w:cs="Arial"/>
          <w:sz w:val="24"/>
          <w:szCs w:val="24"/>
        </w:rPr>
        <w:t>circular alcove containing the fireplace and statuary niches</w:t>
      </w:r>
      <w:r w:rsidR="008E79CF">
        <w:rPr>
          <w:rFonts w:ascii="Arial" w:hAnsi="Arial" w:cs="Arial"/>
          <w:sz w:val="24"/>
          <w:szCs w:val="24"/>
        </w:rPr>
        <w:t>)</w:t>
      </w:r>
      <w:r>
        <w:rPr>
          <w:rFonts w:ascii="Arial" w:hAnsi="Arial" w:cs="Arial"/>
          <w:sz w:val="24"/>
          <w:szCs w:val="24"/>
        </w:rPr>
        <w:t xml:space="preserve"> and </w:t>
      </w:r>
      <w:r w:rsidR="006A35D4">
        <w:rPr>
          <w:rFonts w:ascii="Arial" w:hAnsi="Arial" w:cs="Arial"/>
          <w:sz w:val="24"/>
          <w:szCs w:val="24"/>
        </w:rPr>
        <w:t>a library.</w:t>
      </w:r>
      <w:r w:rsidR="009918E3" w:rsidRPr="009918E3">
        <w:rPr>
          <w:rFonts w:ascii="Arial" w:hAnsi="Arial" w:cs="Arial"/>
          <w:sz w:val="24"/>
          <w:szCs w:val="24"/>
          <w:u w:val="single"/>
        </w:rPr>
        <w:t xml:space="preserve"> </w:t>
      </w:r>
    </w:p>
    <w:p w14:paraId="49C3E866" w14:textId="77777777" w:rsidR="00416DB1" w:rsidRDefault="00416DB1" w:rsidP="009918E3">
      <w:pPr>
        <w:rPr>
          <w:rFonts w:ascii="Arial" w:hAnsi="Arial" w:cs="Arial"/>
          <w:sz w:val="24"/>
          <w:szCs w:val="24"/>
          <w:u w:val="single"/>
        </w:rPr>
      </w:pPr>
    </w:p>
    <w:p w14:paraId="70A34A9D" w14:textId="77777777" w:rsidR="00416DB1" w:rsidRDefault="00416DB1" w:rsidP="00416DB1">
      <w:pPr>
        <w:rPr>
          <w:rFonts w:ascii="Arial" w:hAnsi="Arial" w:cs="Arial"/>
          <w:i/>
          <w:iCs/>
          <w:sz w:val="24"/>
          <w:szCs w:val="24"/>
        </w:rPr>
      </w:pPr>
      <w:r w:rsidRPr="00D240DE">
        <w:rPr>
          <w:rFonts w:ascii="Arial" w:hAnsi="Arial" w:cs="Arial"/>
          <w:noProof/>
          <w:sz w:val="24"/>
          <w:szCs w:val="24"/>
        </w:rPr>
        <w:drawing>
          <wp:inline distT="0" distB="0" distL="0" distR="0" wp14:anchorId="32547596" wp14:editId="43DAB9AB">
            <wp:extent cx="6586358" cy="4267200"/>
            <wp:effectExtent l="0" t="0" r="5080" b="0"/>
            <wp:docPr id="1" name="Picture 1" descr="A snow covered field with trees and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now covered field with trees and buildings in the background&#10;&#10;Description automatically generated with low confidence"/>
                    <pic:cNvPicPr/>
                  </pic:nvPicPr>
                  <pic:blipFill>
                    <a:blip r:embed="rId7"/>
                    <a:stretch>
                      <a:fillRect/>
                    </a:stretch>
                  </pic:blipFill>
                  <pic:spPr>
                    <a:xfrm>
                      <a:off x="0" y="0"/>
                      <a:ext cx="6595727" cy="4273270"/>
                    </a:xfrm>
                    <a:prstGeom prst="rect">
                      <a:avLst/>
                    </a:prstGeom>
                  </pic:spPr>
                </pic:pic>
              </a:graphicData>
            </a:graphic>
          </wp:inline>
        </w:drawing>
      </w:r>
      <w:r w:rsidRPr="00416DB1">
        <w:rPr>
          <w:rFonts w:ascii="Arial" w:hAnsi="Arial" w:cs="Arial"/>
          <w:i/>
          <w:iCs/>
          <w:sz w:val="24"/>
          <w:szCs w:val="24"/>
        </w:rPr>
        <w:t xml:space="preserve"> </w:t>
      </w:r>
    </w:p>
    <w:p w14:paraId="2A9BAA34" w14:textId="198D07E9" w:rsidR="00416DB1" w:rsidRDefault="00416DB1" w:rsidP="00416DB1">
      <w:pPr>
        <w:rPr>
          <w:rFonts w:ascii="Arial" w:hAnsi="Arial" w:cs="Arial"/>
          <w:i/>
          <w:iCs/>
          <w:sz w:val="24"/>
          <w:szCs w:val="24"/>
        </w:rPr>
      </w:pPr>
      <w:r>
        <w:rPr>
          <w:rFonts w:ascii="Arial" w:hAnsi="Arial" w:cs="Arial"/>
          <w:i/>
          <w:iCs/>
          <w:sz w:val="24"/>
          <w:szCs w:val="24"/>
        </w:rPr>
        <w:t>Fig 1: Rodborough Manor in 1889</w:t>
      </w:r>
      <w:r w:rsidR="008E79CF">
        <w:rPr>
          <w:rFonts w:ascii="Arial" w:hAnsi="Arial" w:cs="Arial"/>
          <w:i/>
          <w:iCs/>
          <w:sz w:val="24"/>
          <w:szCs w:val="24"/>
        </w:rPr>
        <w:t xml:space="preserve"> (Gloucestershire Archives)</w:t>
      </w:r>
    </w:p>
    <w:p w14:paraId="7D9401BB" w14:textId="30DD453D" w:rsidR="00416DB1" w:rsidRDefault="00416DB1" w:rsidP="009918E3">
      <w:pPr>
        <w:rPr>
          <w:rFonts w:ascii="Arial" w:hAnsi="Arial" w:cs="Arial"/>
          <w:sz w:val="24"/>
          <w:szCs w:val="24"/>
          <w:u w:val="single"/>
        </w:rPr>
      </w:pPr>
    </w:p>
    <w:p w14:paraId="42288335" w14:textId="35B8560C" w:rsidR="00416DB1" w:rsidRDefault="003838F4" w:rsidP="009918E3">
      <w:pPr>
        <w:rPr>
          <w:rFonts w:ascii="Arial" w:hAnsi="Arial" w:cs="Arial"/>
          <w:i/>
          <w:iCs/>
          <w:sz w:val="24"/>
          <w:szCs w:val="24"/>
        </w:rPr>
      </w:pPr>
      <w:r>
        <w:rPr>
          <w:noProof/>
        </w:rPr>
        <w:lastRenderedPageBreak/>
        <w:drawing>
          <wp:inline distT="0" distB="0" distL="0" distR="0" wp14:anchorId="09555629" wp14:editId="0D5CA1D0">
            <wp:extent cx="5572125" cy="3486150"/>
            <wp:effectExtent l="0" t="0" r="9525" b="0"/>
            <wp:docPr id="13" name="Picture 13" descr="A picture containing text,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ou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125" cy="3486150"/>
                    </a:xfrm>
                    <a:prstGeom prst="rect">
                      <a:avLst/>
                    </a:prstGeom>
                    <a:noFill/>
                    <a:ln>
                      <a:noFill/>
                    </a:ln>
                  </pic:spPr>
                </pic:pic>
              </a:graphicData>
            </a:graphic>
          </wp:inline>
        </w:drawing>
      </w:r>
    </w:p>
    <w:p w14:paraId="42D37506" w14:textId="396D1A25" w:rsidR="009918E3" w:rsidRDefault="00416DB1" w:rsidP="009918E3">
      <w:pPr>
        <w:rPr>
          <w:rFonts w:ascii="Arial" w:hAnsi="Arial" w:cs="Arial"/>
          <w:sz w:val="24"/>
          <w:szCs w:val="24"/>
          <w:u w:val="single"/>
        </w:rPr>
      </w:pPr>
      <w:r w:rsidRPr="00416DB1">
        <w:rPr>
          <w:rFonts w:ascii="Arial" w:hAnsi="Arial" w:cs="Arial"/>
          <w:i/>
          <w:iCs/>
          <w:sz w:val="24"/>
          <w:szCs w:val="24"/>
        </w:rPr>
        <w:t xml:space="preserve"> </w:t>
      </w:r>
      <w:r w:rsidRPr="00571892">
        <w:rPr>
          <w:rFonts w:ascii="Arial" w:hAnsi="Arial" w:cs="Arial"/>
          <w:i/>
          <w:iCs/>
          <w:sz w:val="24"/>
          <w:szCs w:val="24"/>
        </w:rPr>
        <w:t>Fig 2: Rodborough Manor</w:t>
      </w:r>
      <w:r>
        <w:rPr>
          <w:rFonts w:ascii="Arial" w:hAnsi="Arial" w:cs="Arial"/>
          <w:i/>
          <w:iCs/>
          <w:sz w:val="24"/>
          <w:szCs w:val="24"/>
        </w:rPr>
        <w:t xml:space="preserve"> after the</w:t>
      </w:r>
      <w:r w:rsidRPr="00571892">
        <w:rPr>
          <w:rFonts w:ascii="Arial" w:hAnsi="Arial" w:cs="Arial"/>
          <w:i/>
          <w:iCs/>
          <w:sz w:val="24"/>
          <w:szCs w:val="24"/>
        </w:rPr>
        <w:t xml:space="preserve"> 1906</w:t>
      </w:r>
      <w:r>
        <w:rPr>
          <w:rFonts w:ascii="Arial" w:hAnsi="Arial" w:cs="Arial"/>
          <w:i/>
          <w:iCs/>
          <w:sz w:val="24"/>
          <w:szCs w:val="24"/>
        </w:rPr>
        <w:t xml:space="preserve"> fire</w:t>
      </w:r>
      <w:r w:rsidR="002616FF">
        <w:rPr>
          <w:rFonts w:ascii="Arial" w:hAnsi="Arial" w:cs="Arial"/>
          <w:i/>
          <w:iCs/>
          <w:sz w:val="24"/>
          <w:szCs w:val="24"/>
        </w:rPr>
        <w:t xml:space="preserve"> (Howard Beard)</w:t>
      </w:r>
    </w:p>
    <w:p w14:paraId="161CEA20" w14:textId="77777777" w:rsidR="00416DB1" w:rsidRDefault="00416DB1" w:rsidP="009918E3">
      <w:pPr>
        <w:rPr>
          <w:rFonts w:ascii="Arial" w:hAnsi="Arial" w:cs="Arial"/>
          <w:sz w:val="24"/>
          <w:szCs w:val="24"/>
          <w:u w:val="single"/>
        </w:rPr>
      </w:pPr>
    </w:p>
    <w:p w14:paraId="629BA2FB" w14:textId="48D10796" w:rsidR="009918E3" w:rsidRDefault="009918E3" w:rsidP="009918E3">
      <w:pPr>
        <w:rPr>
          <w:rFonts w:ascii="Arial" w:hAnsi="Arial" w:cs="Arial"/>
          <w:sz w:val="24"/>
          <w:szCs w:val="24"/>
        </w:rPr>
      </w:pPr>
      <w:r w:rsidRPr="004540BE">
        <w:rPr>
          <w:rFonts w:ascii="Arial" w:hAnsi="Arial" w:cs="Arial"/>
          <w:sz w:val="24"/>
          <w:szCs w:val="24"/>
          <w:u w:val="single"/>
        </w:rPr>
        <w:t xml:space="preserve">The </w:t>
      </w:r>
      <w:r>
        <w:rPr>
          <w:rFonts w:ascii="Arial" w:hAnsi="Arial" w:cs="Arial"/>
          <w:sz w:val="24"/>
          <w:szCs w:val="24"/>
          <w:u w:val="single"/>
        </w:rPr>
        <w:t xml:space="preserve">Ornamental </w:t>
      </w:r>
      <w:r w:rsidRPr="004540BE">
        <w:rPr>
          <w:rFonts w:ascii="Arial" w:hAnsi="Arial" w:cs="Arial"/>
          <w:sz w:val="24"/>
          <w:szCs w:val="24"/>
          <w:u w:val="single"/>
        </w:rPr>
        <w:t>Gardens</w:t>
      </w:r>
    </w:p>
    <w:p w14:paraId="2852BC18" w14:textId="60ED2F6B" w:rsidR="009918E3" w:rsidRDefault="009918E3" w:rsidP="009918E3">
      <w:pPr>
        <w:rPr>
          <w:rFonts w:ascii="Arial" w:hAnsi="Arial" w:cs="Arial"/>
          <w:sz w:val="24"/>
          <w:szCs w:val="24"/>
        </w:rPr>
      </w:pPr>
      <w:r>
        <w:rPr>
          <w:rFonts w:ascii="Arial" w:hAnsi="Arial" w:cs="Arial"/>
          <w:sz w:val="24"/>
          <w:szCs w:val="24"/>
        </w:rPr>
        <w:t>The house faces south with a commanding view of the small valley immediately to the south, containing the pastureland park and a large fishpond, and - to the west – of the Nailsworth valley (running north-south) and the Woodchester valley beyond it. A terrace sweeps round in front of these two sides of the house to take advantage of these views.</w:t>
      </w:r>
    </w:p>
    <w:p w14:paraId="07C85A8B" w14:textId="3CFA9766" w:rsidR="009918E3" w:rsidRDefault="009918E3" w:rsidP="009918E3">
      <w:pPr>
        <w:rPr>
          <w:rFonts w:ascii="Arial" w:hAnsi="Arial" w:cs="Arial"/>
          <w:sz w:val="24"/>
          <w:szCs w:val="24"/>
        </w:rPr>
      </w:pPr>
      <w:r>
        <w:rPr>
          <w:rFonts w:ascii="Arial" w:hAnsi="Arial" w:cs="Arial"/>
          <w:sz w:val="24"/>
          <w:szCs w:val="24"/>
        </w:rPr>
        <w:t xml:space="preserve">Detail of the ornamental gardens is </w:t>
      </w:r>
      <w:r w:rsidR="004B308D">
        <w:rPr>
          <w:rFonts w:ascii="Arial" w:hAnsi="Arial" w:cs="Arial"/>
          <w:sz w:val="24"/>
          <w:szCs w:val="24"/>
        </w:rPr>
        <w:t>spars</w:t>
      </w:r>
      <w:r>
        <w:rPr>
          <w:rFonts w:ascii="Arial" w:hAnsi="Arial" w:cs="Arial"/>
          <w:sz w:val="24"/>
          <w:szCs w:val="24"/>
        </w:rPr>
        <w:t xml:space="preserve">e. Sir George’s library catalogues include a number of books on gardening, forestry and botany (as well as Uvedale Price’s </w:t>
      </w:r>
      <w:r>
        <w:rPr>
          <w:rFonts w:ascii="Arial" w:hAnsi="Arial" w:cs="Arial"/>
          <w:i/>
          <w:iCs/>
          <w:sz w:val="24"/>
          <w:szCs w:val="24"/>
        </w:rPr>
        <w:t>An Essay on the Picturesque</w:t>
      </w:r>
      <w:r>
        <w:rPr>
          <w:rFonts w:ascii="Arial" w:hAnsi="Arial" w:cs="Arial"/>
          <w:sz w:val="24"/>
          <w:szCs w:val="24"/>
        </w:rPr>
        <w:t>}</w:t>
      </w:r>
      <w:r>
        <w:rPr>
          <w:rStyle w:val="FootnoteReference"/>
          <w:rFonts w:ascii="Arial" w:hAnsi="Arial" w:cs="Arial"/>
          <w:sz w:val="24"/>
          <w:szCs w:val="24"/>
        </w:rPr>
        <w:footnoteReference w:id="6"/>
      </w:r>
      <w:r>
        <w:rPr>
          <w:rFonts w:ascii="Arial" w:hAnsi="Arial" w:cs="Arial"/>
          <w:sz w:val="24"/>
          <w:szCs w:val="24"/>
        </w:rPr>
        <w:t>. But the terrace area is quite compact and the mansion, stables and other outbuildings, woodland and park leave li</w:t>
      </w:r>
      <w:r w:rsidR="00FD794D">
        <w:rPr>
          <w:rFonts w:ascii="Arial" w:hAnsi="Arial" w:cs="Arial"/>
          <w:sz w:val="24"/>
          <w:szCs w:val="24"/>
        </w:rPr>
        <w:t>mited additional</w:t>
      </w:r>
      <w:r>
        <w:rPr>
          <w:rFonts w:ascii="Arial" w:hAnsi="Arial" w:cs="Arial"/>
          <w:sz w:val="24"/>
          <w:szCs w:val="24"/>
        </w:rPr>
        <w:t xml:space="preserve"> room</w:t>
      </w:r>
      <w:r w:rsidR="00FD794D">
        <w:rPr>
          <w:rFonts w:ascii="Arial" w:hAnsi="Arial" w:cs="Arial"/>
          <w:sz w:val="24"/>
          <w:szCs w:val="24"/>
        </w:rPr>
        <w:t xml:space="preserve"> to the north</w:t>
      </w:r>
      <w:r>
        <w:rPr>
          <w:rFonts w:ascii="Arial" w:hAnsi="Arial" w:cs="Arial"/>
          <w:sz w:val="24"/>
          <w:szCs w:val="24"/>
        </w:rPr>
        <w:t xml:space="preserve"> for ornamental gardens either at the time of the 1839 tithe map</w:t>
      </w:r>
      <w:r w:rsidR="004B308D">
        <w:rPr>
          <w:rFonts w:ascii="Arial" w:hAnsi="Arial" w:cs="Arial"/>
          <w:sz w:val="24"/>
          <w:szCs w:val="24"/>
        </w:rPr>
        <w:t xml:space="preserve"> [Fig 9]</w:t>
      </w:r>
      <w:r>
        <w:rPr>
          <w:rStyle w:val="FootnoteReference"/>
          <w:rFonts w:ascii="Arial" w:hAnsi="Arial" w:cs="Arial"/>
          <w:sz w:val="24"/>
          <w:szCs w:val="24"/>
        </w:rPr>
        <w:footnoteReference w:id="7"/>
      </w:r>
      <w:r>
        <w:rPr>
          <w:rFonts w:ascii="Arial" w:hAnsi="Arial" w:cs="Arial"/>
          <w:sz w:val="24"/>
          <w:szCs w:val="24"/>
        </w:rPr>
        <w:t xml:space="preserve"> or the 1855 sale</w:t>
      </w:r>
      <w:r w:rsidR="004B308D">
        <w:rPr>
          <w:rFonts w:ascii="Arial" w:hAnsi="Arial" w:cs="Arial"/>
          <w:sz w:val="24"/>
          <w:szCs w:val="24"/>
        </w:rPr>
        <w:t xml:space="preserve"> [Fig 10]</w:t>
      </w:r>
      <w:r>
        <w:rPr>
          <w:rFonts w:ascii="Arial" w:hAnsi="Arial" w:cs="Arial"/>
          <w:sz w:val="24"/>
          <w:szCs w:val="24"/>
        </w:rPr>
        <w:t xml:space="preserve"> (when the particulars refer to “exceedingly beautiful” pleasure grounds with “a choice variety of shrubs”)</w:t>
      </w:r>
      <w:r>
        <w:rPr>
          <w:rStyle w:val="FootnoteReference"/>
          <w:rFonts w:ascii="Arial" w:hAnsi="Arial" w:cs="Arial"/>
          <w:sz w:val="24"/>
          <w:szCs w:val="24"/>
        </w:rPr>
        <w:footnoteReference w:id="8"/>
      </w:r>
      <w:r>
        <w:rPr>
          <w:rFonts w:ascii="Arial" w:hAnsi="Arial" w:cs="Arial"/>
          <w:sz w:val="24"/>
          <w:szCs w:val="24"/>
        </w:rPr>
        <w:t>.</w:t>
      </w:r>
      <w:r w:rsidR="008E79CF">
        <w:rPr>
          <w:rFonts w:ascii="Arial" w:hAnsi="Arial" w:cs="Arial"/>
          <w:sz w:val="24"/>
          <w:szCs w:val="24"/>
        </w:rPr>
        <w:t xml:space="preserve">  A terraced garden has been created since </w:t>
      </w:r>
      <w:r w:rsidR="008E79CF">
        <w:rPr>
          <w:rFonts w:ascii="Arial" w:hAnsi="Arial" w:cs="Arial"/>
          <w:sz w:val="24"/>
          <w:szCs w:val="24"/>
        </w:rPr>
        <w:lastRenderedPageBreak/>
        <w:t>1994</w:t>
      </w:r>
      <w:r w:rsidR="005B4EA6">
        <w:rPr>
          <w:rFonts w:ascii="Arial" w:hAnsi="Arial" w:cs="Arial"/>
          <w:sz w:val="24"/>
          <w:szCs w:val="24"/>
        </w:rPr>
        <w:t xml:space="preserve"> north of the house and</w:t>
      </w:r>
      <w:r w:rsidR="008E79CF">
        <w:rPr>
          <w:rFonts w:ascii="Arial" w:hAnsi="Arial" w:cs="Arial"/>
          <w:sz w:val="24"/>
          <w:szCs w:val="24"/>
        </w:rPr>
        <w:t xml:space="preserve"> immediately to the west of the drive shown in the 188</w:t>
      </w:r>
      <w:r w:rsidR="005B4EA6">
        <w:rPr>
          <w:rFonts w:ascii="Arial" w:hAnsi="Arial" w:cs="Arial"/>
          <w:sz w:val="24"/>
          <w:szCs w:val="24"/>
        </w:rPr>
        <w:t xml:space="preserve">2 OS 25” map [Fig 7]: during its construction, evidence of Cotswold stone walling indicated an earlier terraced garden had existed on the same </w:t>
      </w:r>
      <w:r w:rsidR="001A2C8C">
        <w:rPr>
          <w:rFonts w:ascii="Arial" w:hAnsi="Arial" w:cs="Arial"/>
          <w:sz w:val="24"/>
          <w:szCs w:val="24"/>
        </w:rPr>
        <w:t>site</w:t>
      </w:r>
      <w:r w:rsidR="005B4EA6">
        <w:rPr>
          <w:rFonts w:ascii="Arial" w:hAnsi="Arial" w:cs="Arial"/>
          <w:sz w:val="24"/>
          <w:szCs w:val="24"/>
        </w:rPr>
        <w:t xml:space="preserve"> but this is not shown on available maps – it might possibly date from the Lee Godfreys’ day.</w:t>
      </w:r>
    </w:p>
    <w:p w14:paraId="4395A7EB" w14:textId="7F229A72" w:rsidR="004A2C39" w:rsidRDefault="009918E3" w:rsidP="004A2C39">
      <w:pPr>
        <w:rPr>
          <w:rFonts w:ascii="Arial" w:hAnsi="Arial" w:cs="Arial"/>
          <w:sz w:val="24"/>
          <w:szCs w:val="24"/>
        </w:rPr>
      </w:pPr>
      <w:r>
        <w:rPr>
          <w:rFonts w:ascii="Arial" w:hAnsi="Arial" w:cs="Arial"/>
          <w:sz w:val="24"/>
          <w:szCs w:val="24"/>
        </w:rPr>
        <w:t>Nicholas Kingsley refers to the 45ft long stone conservatory (visible</w:t>
      </w:r>
      <w:r w:rsidR="00460A6E">
        <w:rPr>
          <w:rFonts w:ascii="Arial" w:hAnsi="Arial" w:cs="Arial"/>
          <w:sz w:val="24"/>
          <w:szCs w:val="24"/>
        </w:rPr>
        <w:t xml:space="preserve"> to the right of the house</w:t>
      </w:r>
      <w:r>
        <w:rPr>
          <w:rFonts w:ascii="Arial" w:hAnsi="Arial" w:cs="Arial"/>
          <w:sz w:val="24"/>
          <w:szCs w:val="24"/>
        </w:rPr>
        <w:t xml:space="preserve"> in </w:t>
      </w:r>
      <w:r w:rsidR="00416DB1">
        <w:rPr>
          <w:rFonts w:ascii="Arial" w:hAnsi="Arial" w:cs="Arial"/>
          <w:sz w:val="24"/>
          <w:szCs w:val="24"/>
        </w:rPr>
        <w:t xml:space="preserve">both </w:t>
      </w:r>
      <w:r>
        <w:rPr>
          <w:rFonts w:ascii="Arial" w:hAnsi="Arial" w:cs="Arial"/>
          <w:sz w:val="24"/>
          <w:szCs w:val="24"/>
        </w:rPr>
        <w:t xml:space="preserve">the 1889 engraving </w:t>
      </w:r>
      <w:r w:rsidR="00460A6E">
        <w:rPr>
          <w:rFonts w:ascii="Arial" w:hAnsi="Arial" w:cs="Arial"/>
          <w:sz w:val="24"/>
          <w:szCs w:val="24"/>
        </w:rPr>
        <w:t xml:space="preserve">and a 1906 postcard </w:t>
      </w:r>
      <w:r>
        <w:rPr>
          <w:rFonts w:ascii="Arial" w:hAnsi="Arial" w:cs="Arial"/>
          <w:sz w:val="24"/>
          <w:szCs w:val="24"/>
        </w:rPr>
        <w:t>[Fig</w:t>
      </w:r>
      <w:r w:rsidR="00460A6E">
        <w:rPr>
          <w:rFonts w:ascii="Arial" w:hAnsi="Arial" w:cs="Arial"/>
          <w:sz w:val="24"/>
          <w:szCs w:val="24"/>
        </w:rPr>
        <w:t>s</w:t>
      </w:r>
      <w:r>
        <w:rPr>
          <w:rFonts w:ascii="Arial" w:hAnsi="Arial" w:cs="Arial"/>
          <w:sz w:val="24"/>
          <w:szCs w:val="24"/>
        </w:rPr>
        <w:t xml:space="preserve"> 1</w:t>
      </w:r>
      <w:r w:rsidR="00460A6E">
        <w:rPr>
          <w:rFonts w:ascii="Arial" w:hAnsi="Arial" w:cs="Arial"/>
          <w:sz w:val="24"/>
          <w:szCs w:val="24"/>
        </w:rPr>
        <w:t xml:space="preserve"> and 2</w:t>
      </w:r>
      <w:r>
        <w:rPr>
          <w:rFonts w:ascii="Arial" w:hAnsi="Arial" w:cs="Arial"/>
          <w:sz w:val="24"/>
          <w:szCs w:val="24"/>
        </w:rPr>
        <w:t>]) as “early 19</w:t>
      </w:r>
      <w:r w:rsidRPr="00347BE0">
        <w:rPr>
          <w:rFonts w:ascii="Arial" w:hAnsi="Arial" w:cs="Arial"/>
          <w:sz w:val="24"/>
          <w:szCs w:val="24"/>
          <w:vertAlign w:val="superscript"/>
        </w:rPr>
        <w:t>th</w:t>
      </w:r>
      <w:r>
        <w:rPr>
          <w:rFonts w:ascii="Arial" w:hAnsi="Arial" w:cs="Arial"/>
          <w:sz w:val="24"/>
          <w:szCs w:val="24"/>
        </w:rPr>
        <w:t xml:space="preserve"> century”</w:t>
      </w:r>
      <w:r>
        <w:rPr>
          <w:rStyle w:val="FootnoteReference"/>
          <w:rFonts w:ascii="Arial" w:hAnsi="Arial" w:cs="Arial"/>
          <w:sz w:val="24"/>
          <w:szCs w:val="24"/>
        </w:rPr>
        <w:footnoteReference w:id="9"/>
      </w:r>
      <w:r>
        <w:rPr>
          <w:rFonts w:ascii="Arial" w:hAnsi="Arial" w:cs="Arial"/>
          <w:sz w:val="24"/>
          <w:szCs w:val="24"/>
        </w:rPr>
        <w:t xml:space="preserve"> but the first evidence for it is in the 1855 sale particulars – it is missing from the tithe map, which shows other outbuildings</w:t>
      </w:r>
      <w:r w:rsidR="00E072E9">
        <w:rPr>
          <w:rFonts w:ascii="Arial" w:hAnsi="Arial" w:cs="Arial"/>
          <w:sz w:val="24"/>
          <w:szCs w:val="24"/>
        </w:rPr>
        <w:t xml:space="preserve">. </w:t>
      </w:r>
      <w:r w:rsidR="00E072E9" w:rsidRPr="00E072E9">
        <w:rPr>
          <w:rFonts w:ascii="Arial" w:hAnsi="Arial" w:cs="Arial"/>
          <w:sz w:val="24"/>
          <w:szCs w:val="24"/>
        </w:rPr>
        <w:t xml:space="preserve">Agnes Witts, who with her husband rented nearby Bownham Park </w:t>
      </w:r>
      <w:r w:rsidR="00E072E9">
        <w:rPr>
          <w:rFonts w:ascii="Arial" w:hAnsi="Arial" w:cs="Arial"/>
          <w:sz w:val="24"/>
          <w:szCs w:val="24"/>
        </w:rPr>
        <w:t>in the 1790s</w:t>
      </w:r>
      <w:r w:rsidR="00E072E9" w:rsidRPr="00E072E9">
        <w:rPr>
          <w:rFonts w:ascii="Arial" w:hAnsi="Arial" w:cs="Arial"/>
          <w:sz w:val="24"/>
          <w:szCs w:val="24"/>
        </w:rPr>
        <w:t>, records in her diary</w:t>
      </w:r>
      <w:r w:rsidR="00E072E9">
        <w:rPr>
          <w:rStyle w:val="FootnoteReference"/>
          <w:rFonts w:ascii="Arial" w:hAnsi="Arial" w:cs="Arial"/>
          <w:sz w:val="24"/>
          <w:szCs w:val="24"/>
        </w:rPr>
        <w:footnoteReference w:id="10"/>
      </w:r>
      <w:r w:rsidR="00E072E9" w:rsidRPr="00E072E9">
        <w:rPr>
          <w:rFonts w:ascii="Arial" w:hAnsi="Arial" w:cs="Arial"/>
          <w:sz w:val="24"/>
          <w:szCs w:val="24"/>
        </w:rPr>
        <w:t xml:space="preserve"> various visits to the Pauls</w:t>
      </w:r>
      <w:r w:rsidR="00E072E9">
        <w:rPr>
          <w:rFonts w:ascii="Arial" w:hAnsi="Arial" w:cs="Arial"/>
          <w:sz w:val="24"/>
          <w:szCs w:val="24"/>
        </w:rPr>
        <w:t xml:space="preserve">. Although </w:t>
      </w:r>
      <w:r>
        <w:rPr>
          <w:rFonts w:ascii="Arial" w:hAnsi="Arial" w:cs="Arial"/>
          <w:sz w:val="24"/>
          <w:szCs w:val="24"/>
        </w:rPr>
        <w:t xml:space="preserve">a keen gardener </w:t>
      </w:r>
      <w:r w:rsidR="00E072E9">
        <w:rPr>
          <w:rFonts w:ascii="Arial" w:hAnsi="Arial" w:cs="Arial"/>
          <w:sz w:val="24"/>
          <w:szCs w:val="24"/>
        </w:rPr>
        <w:t>who</w:t>
      </w:r>
      <w:r>
        <w:rPr>
          <w:rFonts w:ascii="Arial" w:hAnsi="Arial" w:cs="Arial"/>
          <w:sz w:val="24"/>
          <w:szCs w:val="24"/>
        </w:rPr>
        <w:t xml:space="preserve"> spent much time in her own conservatory at Bownham Park, </w:t>
      </w:r>
      <w:r w:rsidR="00E072E9">
        <w:rPr>
          <w:rFonts w:ascii="Arial" w:hAnsi="Arial" w:cs="Arial"/>
          <w:sz w:val="24"/>
          <w:szCs w:val="24"/>
        </w:rPr>
        <w:t xml:space="preserve">she </w:t>
      </w:r>
      <w:r>
        <w:rPr>
          <w:rFonts w:ascii="Arial" w:hAnsi="Arial" w:cs="Arial"/>
          <w:sz w:val="24"/>
          <w:szCs w:val="24"/>
        </w:rPr>
        <w:t xml:space="preserve">makes no mention of a conservatory at Hill House (and indeed she is silent </w:t>
      </w:r>
      <w:r w:rsidR="004B308D">
        <w:rPr>
          <w:rFonts w:ascii="Arial" w:hAnsi="Arial" w:cs="Arial"/>
          <w:sz w:val="24"/>
          <w:szCs w:val="24"/>
        </w:rPr>
        <w:t>as to its</w:t>
      </w:r>
      <w:r>
        <w:rPr>
          <w:rFonts w:ascii="Arial" w:hAnsi="Arial" w:cs="Arial"/>
          <w:sz w:val="24"/>
          <w:szCs w:val="24"/>
        </w:rPr>
        <w:t xml:space="preserve"> ornamental gardens).</w:t>
      </w:r>
      <w:r w:rsidR="004A2C39" w:rsidRPr="004A2C39">
        <w:rPr>
          <w:rFonts w:ascii="Arial" w:hAnsi="Arial" w:cs="Arial"/>
          <w:sz w:val="24"/>
          <w:szCs w:val="24"/>
        </w:rPr>
        <w:t xml:space="preserve"> </w:t>
      </w:r>
    </w:p>
    <w:p w14:paraId="366E70F8" w14:textId="5038D92F" w:rsidR="00E072E9" w:rsidRDefault="00E072E9" w:rsidP="004A2C39">
      <w:pPr>
        <w:rPr>
          <w:rFonts w:ascii="Arial" w:hAnsi="Arial" w:cs="Arial"/>
          <w:sz w:val="24"/>
          <w:szCs w:val="24"/>
        </w:rPr>
      </w:pPr>
      <w:r>
        <w:rPr>
          <w:rFonts w:ascii="Arial" w:hAnsi="Arial" w:cs="Arial"/>
          <w:sz w:val="24"/>
          <w:szCs w:val="24"/>
        </w:rPr>
        <w:t xml:space="preserve">The 1885 OS map shows a fountain (also referred to in the 1870 sale particulars) in front of the conservatory. </w:t>
      </w:r>
      <w:r w:rsidR="002616FF">
        <w:rPr>
          <w:rFonts w:ascii="Arial" w:hAnsi="Arial" w:cs="Arial"/>
          <w:sz w:val="24"/>
          <w:szCs w:val="24"/>
        </w:rPr>
        <w:t xml:space="preserve">The circular fountain pool survives, together with a (possibly not original) fountain in the form of a cherub. </w:t>
      </w:r>
      <w:r w:rsidR="000B3E92">
        <w:rPr>
          <w:rFonts w:ascii="Arial" w:hAnsi="Arial" w:cs="Arial"/>
          <w:sz w:val="24"/>
          <w:szCs w:val="24"/>
        </w:rPr>
        <w:t>A design by Sir John Dean Paul survives which may be of th</w:t>
      </w:r>
      <w:r w:rsidR="002616FF">
        <w:rPr>
          <w:rFonts w:ascii="Arial" w:hAnsi="Arial" w:cs="Arial"/>
          <w:sz w:val="24"/>
          <w:szCs w:val="24"/>
        </w:rPr>
        <w:t>e original</w:t>
      </w:r>
      <w:r w:rsidR="000B3E92">
        <w:rPr>
          <w:rFonts w:ascii="Arial" w:hAnsi="Arial" w:cs="Arial"/>
          <w:sz w:val="24"/>
          <w:szCs w:val="24"/>
        </w:rPr>
        <w:t xml:space="preserve"> fountain, in which case it can be dated to 1847-52</w:t>
      </w:r>
      <w:r w:rsidR="000B3E92">
        <w:rPr>
          <w:rStyle w:val="FootnoteReference"/>
          <w:rFonts w:ascii="Arial" w:hAnsi="Arial" w:cs="Arial"/>
          <w:sz w:val="24"/>
          <w:szCs w:val="24"/>
        </w:rPr>
        <w:footnoteReference w:id="11"/>
      </w:r>
      <w:r w:rsidR="00F90FF0">
        <w:rPr>
          <w:rFonts w:ascii="Arial" w:hAnsi="Arial" w:cs="Arial"/>
          <w:sz w:val="24"/>
          <w:szCs w:val="24"/>
        </w:rPr>
        <w:t>.</w:t>
      </w:r>
      <w:r>
        <w:rPr>
          <w:rFonts w:ascii="Arial" w:hAnsi="Arial" w:cs="Arial"/>
          <w:sz w:val="24"/>
          <w:szCs w:val="24"/>
        </w:rPr>
        <w:t xml:space="preserve">  </w:t>
      </w:r>
      <w:r w:rsidR="006C1117">
        <w:rPr>
          <w:rFonts w:ascii="Arial" w:hAnsi="Arial" w:cs="Arial"/>
          <w:sz w:val="24"/>
          <w:szCs w:val="24"/>
        </w:rPr>
        <w:t>The conservatory appears to have been demolished at some point between 1921 and 1938</w:t>
      </w:r>
      <w:r w:rsidR="006C1117">
        <w:rPr>
          <w:rStyle w:val="FootnoteReference"/>
          <w:rFonts w:ascii="Arial" w:hAnsi="Arial" w:cs="Arial"/>
          <w:sz w:val="24"/>
          <w:szCs w:val="24"/>
        </w:rPr>
        <w:footnoteReference w:id="12"/>
      </w:r>
      <w:r w:rsidR="006C1117">
        <w:rPr>
          <w:rFonts w:ascii="Arial" w:hAnsi="Arial" w:cs="Arial"/>
          <w:sz w:val="24"/>
          <w:szCs w:val="24"/>
        </w:rPr>
        <w:t>.</w:t>
      </w:r>
    </w:p>
    <w:p w14:paraId="0C063E26" w14:textId="1BA22979" w:rsidR="004A2C39" w:rsidRDefault="004A2C39" w:rsidP="004A2C39">
      <w:pPr>
        <w:rPr>
          <w:rFonts w:ascii="Arial" w:hAnsi="Arial" w:cs="Arial"/>
          <w:sz w:val="24"/>
          <w:szCs w:val="24"/>
        </w:rPr>
      </w:pPr>
      <w:r>
        <w:rPr>
          <w:rFonts w:ascii="Arial" w:hAnsi="Arial" w:cs="Arial"/>
          <w:sz w:val="24"/>
          <w:szCs w:val="24"/>
        </w:rPr>
        <w:t>The 1855 particulars refer to an icehouse “near the conservatory”</w:t>
      </w:r>
      <w:r w:rsidR="001A2C8C">
        <w:rPr>
          <w:rFonts w:ascii="Arial" w:hAnsi="Arial" w:cs="Arial"/>
          <w:sz w:val="24"/>
          <w:szCs w:val="24"/>
        </w:rPr>
        <w:t>, possibly one of the three small outbuildings shown to the NE of the house on the OS 25” map but none of these survive</w:t>
      </w:r>
      <w:r w:rsidR="006C1117">
        <w:rPr>
          <w:rStyle w:val="FootnoteReference"/>
          <w:rFonts w:ascii="Arial" w:hAnsi="Arial" w:cs="Arial"/>
          <w:sz w:val="24"/>
          <w:szCs w:val="24"/>
        </w:rPr>
        <w:footnoteReference w:id="13"/>
      </w:r>
      <w:r w:rsidR="001A2C8C">
        <w:rPr>
          <w:rFonts w:ascii="Arial" w:hAnsi="Arial" w:cs="Arial"/>
          <w:sz w:val="24"/>
          <w:szCs w:val="24"/>
        </w:rPr>
        <w:t>.</w:t>
      </w:r>
    </w:p>
    <w:p w14:paraId="668AE895" w14:textId="7E5C0F7E" w:rsidR="004A2C39" w:rsidRDefault="004A2C39" w:rsidP="004A2C39">
      <w:pPr>
        <w:rPr>
          <w:rFonts w:ascii="Arial" w:hAnsi="Arial" w:cs="Arial"/>
          <w:sz w:val="24"/>
          <w:szCs w:val="24"/>
        </w:rPr>
      </w:pPr>
      <w:r>
        <w:rPr>
          <w:rFonts w:ascii="Arial" w:hAnsi="Arial" w:cs="Arial"/>
          <w:sz w:val="24"/>
          <w:szCs w:val="24"/>
        </w:rPr>
        <w:t>The same particulars also emphasise that a “very strong and expensive open iron fence” divided the gardens from the park</w:t>
      </w:r>
      <w:r w:rsidR="006C1117">
        <w:rPr>
          <w:rFonts w:ascii="Arial" w:hAnsi="Arial" w:cs="Arial"/>
          <w:sz w:val="24"/>
          <w:szCs w:val="24"/>
        </w:rPr>
        <w:t xml:space="preserve"> (this survives in good condition).</w:t>
      </w:r>
      <w:r>
        <w:rPr>
          <w:rFonts w:ascii="Arial" w:hAnsi="Arial" w:cs="Arial"/>
          <w:sz w:val="24"/>
          <w:szCs w:val="24"/>
        </w:rPr>
        <w:t xml:space="preserve">  </w:t>
      </w:r>
    </w:p>
    <w:p w14:paraId="2C46346E" w14:textId="7A097F7B" w:rsidR="009918E3" w:rsidRDefault="009918E3" w:rsidP="009918E3">
      <w:pPr>
        <w:rPr>
          <w:rFonts w:ascii="Arial" w:hAnsi="Arial" w:cs="Arial"/>
          <w:sz w:val="24"/>
          <w:szCs w:val="24"/>
        </w:rPr>
      </w:pPr>
    </w:p>
    <w:p w14:paraId="1C5620B4" w14:textId="77777777" w:rsidR="009918E3" w:rsidRDefault="009918E3" w:rsidP="009918E3">
      <w:pPr>
        <w:rPr>
          <w:rFonts w:ascii="Arial" w:hAnsi="Arial" w:cs="Arial"/>
          <w:i/>
          <w:iCs/>
          <w:sz w:val="24"/>
          <w:szCs w:val="24"/>
        </w:rPr>
      </w:pPr>
      <w:r w:rsidRPr="000E5FE1">
        <w:rPr>
          <w:rFonts w:ascii="Arial" w:hAnsi="Arial" w:cs="Arial"/>
          <w:i/>
          <w:iCs/>
          <w:noProof/>
          <w:sz w:val="24"/>
          <w:szCs w:val="24"/>
        </w:rPr>
        <w:lastRenderedPageBreak/>
        <w:drawing>
          <wp:inline distT="0" distB="0" distL="0" distR="0" wp14:anchorId="4AD5E4FB" wp14:editId="68F07799">
            <wp:extent cx="6204490" cy="3533775"/>
            <wp:effectExtent l="0" t="0" r="635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9"/>
                    <a:stretch>
                      <a:fillRect/>
                    </a:stretch>
                  </pic:blipFill>
                  <pic:spPr>
                    <a:xfrm>
                      <a:off x="0" y="0"/>
                      <a:ext cx="6206430" cy="3534880"/>
                    </a:xfrm>
                    <a:prstGeom prst="rect">
                      <a:avLst/>
                    </a:prstGeom>
                  </pic:spPr>
                </pic:pic>
              </a:graphicData>
            </a:graphic>
          </wp:inline>
        </w:drawing>
      </w:r>
    </w:p>
    <w:p w14:paraId="2F314A78" w14:textId="499454A0" w:rsidR="009918E3" w:rsidRPr="00E74EEA" w:rsidRDefault="009918E3" w:rsidP="009918E3">
      <w:pPr>
        <w:rPr>
          <w:rFonts w:ascii="Arial" w:hAnsi="Arial" w:cs="Arial"/>
          <w:i/>
          <w:iCs/>
          <w:sz w:val="24"/>
          <w:szCs w:val="24"/>
        </w:rPr>
      </w:pPr>
      <w:r w:rsidRPr="00E74EEA">
        <w:rPr>
          <w:rFonts w:ascii="Arial" w:hAnsi="Arial" w:cs="Arial"/>
          <w:i/>
          <w:iCs/>
          <w:sz w:val="24"/>
          <w:szCs w:val="24"/>
        </w:rPr>
        <w:t xml:space="preserve">Fig </w:t>
      </w:r>
      <w:r>
        <w:rPr>
          <w:rFonts w:ascii="Arial" w:hAnsi="Arial" w:cs="Arial"/>
          <w:i/>
          <w:iCs/>
          <w:sz w:val="24"/>
          <w:szCs w:val="24"/>
        </w:rPr>
        <w:t>9</w:t>
      </w:r>
      <w:r w:rsidRPr="00E74EEA">
        <w:rPr>
          <w:rFonts w:ascii="Arial" w:hAnsi="Arial" w:cs="Arial"/>
          <w:i/>
          <w:iCs/>
          <w:sz w:val="24"/>
          <w:szCs w:val="24"/>
        </w:rPr>
        <w:t>: Detail of 1839 tithe map</w:t>
      </w:r>
      <w:r w:rsidR="006C1117">
        <w:rPr>
          <w:rFonts w:ascii="Arial" w:hAnsi="Arial" w:cs="Arial"/>
          <w:i/>
          <w:iCs/>
          <w:sz w:val="24"/>
          <w:szCs w:val="24"/>
        </w:rPr>
        <w:t xml:space="preserve"> (Gloucestershire Archives)</w:t>
      </w:r>
    </w:p>
    <w:p w14:paraId="1102B676" w14:textId="77777777" w:rsidR="009918E3" w:rsidRDefault="009918E3" w:rsidP="009918E3">
      <w:pPr>
        <w:rPr>
          <w:rFonts w:ascii="Arial" w:hAnsi="Arial" w:cs="Arial"/>
          <w:sz w:val="24"/>
          <w:szCs w:val="24"/>
        </w:rPr>
      </w:pPr>
      <w:r>
        <w:rPr>
          <w:rFonts w:ascii="Arial" w:hAnsi="Arial" w:cs="Arial"/>
          <w:noProof/>
          <w:sz w:val="24"/>
          <w:szCs w:val="24"/>
        </w:rPr>
        <w:drawing>
          <wp:inline distT="0" distB="0" distL="0" distR="0" wp14:anchorId="4478B283" wp14:editId="4B433595">
            <wp:extent cx="6193389" cy="344805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5384" cy="3449161"/>
                    </a:xfrm>
                    <a:prstGeom prst="rect">
                      <a:avLst/>
                    </a:prstGeom>
                  </pic:spPr>
                </pic:pic>
              </a:graphicData>
            </a:graphic>
          </wp:inline>
        </w:drawing>
      </w:r>
    </w:p>
    <w:p w14:paraId="301E90AE" w14:textId="2A5A65E1" w:rsidR="009918E3" w:rsidRPr="000E5FE1" w:rsidRDefault="009918E3" w:rsidP="009918E3">
      <w:pPr>
        <w:rPr>
          <w:rFonts w:ascii="Arial" w:hAnsi="Arial" w:cs="Arial"/>
          <w:i/>
          <w:iCs/>
          <w:sz w:val="24"/>
          <w:szCs w:val="24"/>
        </w:rPr>
      </w:pPr>
      <w:r w:rsidRPr="000E5FE1">
        <w:rPr>
          <w:rFonts w:ascii="Arial" w:hAnsi="Arial" w:cs="Arial"/>
          <w:i/>
          <w:iCs/>
          <w:sz w:val="24"/>
          <w:szCs w:val="24"/>
        </w:rPr>
        <w:t>Fig</w:t>
      </w:r>
      <w:r>
        <w:rPr>
          <w:rFonts w:ascii="Arial" w:hAnsi="Arial" w:cs="Arial"/>
          <w:i/>
          <w:iCs/>
          <w:sz w:val="24"/>
          <w:szCs w:val="24"/>
        </w:rPr>
        <w:t xml:space="preserve"> 10</w:t>
      </w:r>
      <w:r w:rsidRPr="000E5FE1">
        <w:rPr>
          <w:rFonts w:ascii="Arial" w:hAnsi="Arial" w:cs="Arial"/>
          <w:i/>
          <w:iCs/>
          <w:sz w:val="24"/>
          <w:szCs w:val="24"/>
        </w:rPr>
        <w:t>: Detail of plan in 1855 sale particulars, showing conservatory to east of house and site of the old kitchen garden</w:t>
      </w:r>
      <w:r w:rsidR="006C1117">
        <w:rPr>
          <w:rFonts w:ascii="Arial" w:hAnsi="Arial" w:cs="Arial"/>
          <w:i/>
          <w:iCs/>
          <w:sz w:val="24"/>
          <w:szCs w:val="24"/>
        </w:rPr>
        <w:t xml:space="preserve"> (Gloucestershire Archives)</w:t>
      </w:r>
    </w:p>
    <w:p w14:paraId="5B0C38A7" w14:textId="528EC985" w:rsidR="00364B5E" w:rsidRDefault="00364B5E">
      <w:pPr>
        <w:rPr>
          <w:rFonts w:ascii="Arial" w:hAnsi="Arial" w:cs="Arial"/>
          <w:sz w:val="24"/>
          <w:szCs w:val="24"/>
        </w:rPr>
      </w:pPr>
    </w:p>
    <w:p w14:paraId="0DC35EDC" w14:textId="08D98126" w:rsidR="00153EB8" w:rsidRPr="006E6F90" w:rsidRDefault="006E6F90">
      <w:pPr>
        <w:rPr>
          <w:rFonts w:ascii="Arial" w:hAnsi="Arial" w:cs="Arial"/>
          <w:sz w:val="24"/>
          <w:szCs w:val="24"/>
        </w:rPr>
      </w:pPr>
      <w:r>
        <w:rPr>
          <w:rFonts w:ascii="Arial" w:hAnsi="Arial" w:cs="Arial"/>
          <w:sz w:val="24"/>
          <w:szCs w:val="24"/>
          <w:u w:val="single"/>
        </w:rPr>
        <w:lastRenderedPageBreak/>
        <w:t>The Park</w:t>
      </w:r>
    </w:p>
    <w:p w14:paraId="2F1BC55A" w14:textId="67EBFF65" w:rsidR="00414C79" w:rsidRDefault="004A2C39">
      <w:pPr>
        <w:rPr>
          <w:rFonts w:ascii="Arial" w:hAnsi="Arial" w:cs="Arial"/>
          <w:sz w:val="24"/>
          <w:szCs w:val="24"/>
        </w:rPr>
      </w:pPr>
      <w:r>
        <w:rPr>
          <w:rFonts w:ascii="Arial" w:hAnsi="Arial" w:cs="Arial"/>
          <w:sz w:val="24"/>
          <w:szCs w:val="24"/>
        </w:rPr>
        <w:t xml:space="preserve">The park </w:t>
      </w:r>
      <w:r w:rsidR="004B308D">
        <w:rPr>
          <w:rFonts w:ascii="Arial" w:hAnsi="Arial" w:cs="Arial"/>
          <w:sz w:val="24"/>
          <w:szCs w:val="24"/>
        </w:rPr>
        <w:t xml:space="preserve">lies </w:t>
      </w:r>
      <w:r>
        <w:rPr>
          <w:rFonts w:ascii="Arial" w:hAnsi="Arial" w:cs="Arial"/>
          <w:sz w:val="24"/>
          <w:szCs w:val="24"/>
        </w:rPr>
        <w:t xml:space="preserve">to the west and south of the house and retains </w:t>
      </w:r>
      <w:r w:rsidR="004B308D">
        <w:rPr>
          <w:rFonts w:ascii="Arial" w:hAnsi="Arial" w:cs="Arial"/>
          <w:sz w:val="24"/>
          <w:szCs w:val="24"/>
        </w:rPr>
        <w:t>e</w:t>
      </w:r>
      <w:r w:rsidR="00DE58AF">
        <w:rPr>
          <w:rFonts w:ascii="Arial" w:hAnsi="Arial" w:cs="Arial"/>
          <w:sz w:val="24"/>
          <w:szCs w:val="24"/>
        </w:rPr>
        <w:t>xtensive evidence</w:t>
      </w:r>
      <w:r w:rsidR="000C5647">
        <w:rPr>
          <w:rFonts w:ascii="Arial" w:hAnsi="Arial" w:cs="Arial"/>
          <w:sz w:val="24"/>
          <w:szCs w:val="24"/>
        </w:rPr>
        <w:t>, much of it readily visible</w:t>
      </w:r>
      <w:r w:rsidR="004B308D">
        <w:rPr>
          <w:rFonts w:ascii="Arial" w:hAnsi="Arial" w:cs="Arial"/>
          <w:sz w:val="24"/>
          <w:szCs w:val="24"/>
        </w:rPr>
        <w:t xml:space="preserve"> on the ground today</w:t>
      </w:r>
      <w:r w:rsidR="000C5647">
        <w:rPr>
          <w:rFonts w:ascii="Arial" w:hAnsi="Arial" w:cs="Arial"/>
          <w:sz w:val="24"/>
          <w:szCs w:val="24"/>
        </w:rPr>
        <w:t>,</w:t>
      </w:r>
      <w:r w:rsidR="00DE58AF">
        <w:rPr>
          <w:rFonts w:ascii="Arial" w:hAnsi="Arial" w:cs="Arial"/>
          <w:sz w:val="24"/>
          <w:szCs w:val="24"/>
        </w:rPr>
        <w:t xml:space="preserve"> of medieval cultivation</w:t>
      </w:r>
      <w:r w:rsidR="00DE58AF">
        <w:rPr>
          <w:rStyle w:val="FootnoteReference"/>
          <w:rFonts w:ascii="Arial" w:hAnsi="Arial" w:cs="Arial"/>
          <w:sz w:val="24"/>
          <w:szCs w:val="24"/>
        </w:rPr>
        <w:footnoteReference w:id="14"/>
      </w:r>
      <w:r w:rsidR="00F00224">
        <w:rPr>
          <w:rFonts w:ascii="Arial" w:hAnsi="Arial" w:cs="Arial"/>
          <w:sz w:val="24"/>
          <w:szCs w:val="24"/>
        </w:rPr>
        <w:t>.</w:t>
      </w:r>
    </w:p>
    <w:p w14:paraId="4D6444BA" w14:textId="4D1B79E5" w:rsidR="00153EB8" w:rsidRDefault="006E6F90">
      <w:pPr>
        <w:rPr>
          <w:rFonts w:ascii="Arial" w:hAnsi="Arial" w:cs="Arial"/>
          <w:sz w:val="24"/>
          <w:szCs w:val="24"/>
        </w:rPr>
      </w:pPr>
      <w:r>
        <w:rPr>
          <w:rFonts w:ascii="Arial" w:hAnsi="Arial" w:cs="Arial"/>
          <w:sz w:val="24"/>
          <w:szCs w:val="24"/>
        </w:rPr>
        <w:t>Sir George plant</w:t>
      </w:r>
      <w:r w:rsidR="000C5647">
        <w:rPr>
          <w:rFonts w:ascii="Arial" w:hAnsi="Arial" w:cs="Arial"/>
          <w:sz w:val="24"/>
          <w:szCs w:val="24"/>
        </w:rPr>
        <w:t>ed</w:t>
      </w:r>
      <w:r>
        <w:rPr>
          <w:rFonts w:ascii="Arial" w:hAnsi="Arial" w:cs="Arial"/>
          <w:sz w:val="24"/>
          <w:szCs w:val="24"/>
        </w:rPr>
        <w:t xml:space="preserve"> a shelter belt on the </w:t>
      </w:r>
      <w:r w:rsidR="004A2C39">
        <w:rPr>
          <w:rFonts w:ascii="Arial" w:hAnsi="Arial" w:cs="Arial"/>
          <w:sz w:val="24"/>
          <w:szCs w:val="24"/>
        </w:rPr>
        <w:t xml:space="preserve">eastern </w:t>
      </w:r>
      <w:r>
        <w:rPr>
          <w:rFonts w:ascii="Arial" w:hAnsi="Arial" w:cs="Arial"/>
          <w:sz w:val="24"/>
          <w:szCs w:val="24"/>
        </w:rPr>
        <w:t>perimeter of the park and creat</w:t>
      </w:r>
      <w:r w:rsidR="000C5647">
        <w:rPr>
          <w:rFonts w:ascii="Arial" w:hAnsi="Arial" w:cs="Arial"/>
          <w:sz w:val="24"/>
          <w:szCs w:val="24"/>
        </w:rPr>
        <w:t xml:space="preserve">ed </w:t>
      </w:r>
      <w:r>
        <w:rPr>
          <w:rFonts w:ascii="Arial" w:hAnsi="Arial" w:cs="Arial"/>
          <w:sz w:val="24"/>
          <w:szCs w:val="24"/>
        </w:rPr>
        <w:t>a winding walk</w:t>
      </w:r>
      <w:r w:rsidR="0041785B">
        <w:rPr>
          <w:rFonts w:ascii="Arial" w:hAnsi="Arial" w:cs="Arial"/>
          <w:sz w:val="24"/>
          <w:szCs w:val="24"/>
        </w:rPr>
        <w:t xml:space="preserve"> within it</w:t>
      </w:r>
      <w:r>
        <w:rPr>
          <w:rFonts w:ascii="Arial" w:hAnsi="Arial" w:cs="Arial"/>
          <w:sz w:val="24"/>
          <w:szCs w:val="24"/>
        </w:rPr>
        <w:t xml:space="preserve">. </w:t>
      </w:r>
      <w:r w:rsidR="00314DC5">
        <w:rPr>
          <w:rFonts w:ascii="Arial" w:hAnsi="Arial" w:cs="Arial"/>
          <w:sz w:val="24"/>
          <w:szCs w:val="24"/>
        </w:rPr>
        <w:t xml:space="preserve">Horse and footway diversions were secured </w:t>
      </w:r>
      <w:r w:rsidR="00D71239">
        <w:rPr>
          <w:rFonts w:ascii="Arial" w:hAnsi="Arial" w:cs="Arial"/>
          <w:sz w:val="24"/>
          <w:szCs w:val="24"/>
        </w:rPr>
        <w:t>which gave</w:t>
      </w:r>
      <w:r w:rsidR="00314DC5">
        <w:rPr>
          <w:rFonts w:ascii="Arial" w:hAnsi="Arial" w:cs="Arial"/>
          <w:sz w:val="24"/>
          <w:szCs w:val="24"/>
        </w:rPr>
        <w:t xml:space="preserve"> greater privacy for the walk</w:t>
      </w:r>
      <w:r w:rsidR="00D71239">
        <w:rPr>
          <w:rFonts w:ascii="Arial" w:hAnsi="Arial" w:cs="Arial"/>
          <w:sz w:val="24"/>
          <w:szCs w:val="24"/>
        </w:rPr>
        <w:t xml:space="preserve"> in 1788</w:t>
      </w:r>
      <w:r w:rsidR="00314DC5">
        <w:rPr>
          <w:rStyle w:val="FootnoteReference"/>
          <w:rFonts w:ascii="Arial" w:hAnsi="Arial" w:cs="Arial"/>
          <w:sz w:val="24"/>
          <w:szCs w:val="24"/>
        </w:rPr>
        <w:footnoteReference w:id="15"/>
      </w:r>
      <w:r w:rsidR="00314DC5">
        <w:rPr>
          <w:rFonts w:ascii="Arial" w:hAnsi="Arial" w:cs="Arial"/>
          <w:sz w:val="24"/>
          <w:szCs w:val="24"/>
        </w:rPr>
        <w:t xml:space="preserve"> and a </w:t>
      </w:r>
      <w:r w:rsidR="004D3056">
        <w:rPr>
          <w:rFonts w:ascii="Arial" w:hAnsi="Arial" w:cs="Arial"/>
          <w:sz w:val="24"/>
          <w:szCs w:val="24"/>
        </w:rPr>
        <w:t xml:space="preserve">substantial </w:t>
      </w:r>
      <w:r w:rsidR="00314DC5">
        <w:rPr>
          <w:rFonts w:ascii="Arial" w:hAnsi="Arial" w:cs="Arial"/>
          <w:sz w:val="24"/>
          <w:szCs w:val="24"/>
        </w:rPr>
        <w:t xml:space="preserve">dry stone </w:t>
      </w:r>
      <w:r w:rsidR="004D3056">
        <w:rPr>
          <w:rFonts w:ascii="Arial" w:hAnsi="Arial" w:cs="Arial"/>
          <w:sz w:val="24"/>
          <w:szCs w:val="24"/>
        </w:rPr>
        <w:t>bridge to carry</w:t>
      </w:r>
      <w:r w:rsidR="00314DC5">
        <w:rPr>
          <w:rFonts w:ascii="Arial" w:hAnsi="Arial" w:cs="Arial"/>
          <w:sz w:val="24"/>
          <w:szCs w:val="24"/>
        </w:rPr>
        <w:t xml:space="preserve"> the public track which ran across the park (now public</w:t>
      </w:r>
      <w:r w:rsidR="00D71239">
        <w:rPr>
          <w:rFonts w:ascii="Arial" w:hAnsi="Arial" w:cs="Arial"/>
          <w:sz w:val="24"/>
          <w:szCs w:val="24"/>
        </w:rPr>
        <w:t xml:space="preserve"> </w:t>
      </w:r>
      <w:r w:rsidR="00314DC5">
        <w:rPr>
          <w:rFonts w:ascii="Arial" w:hAnsi="Arial" w:cs="Arial"/>
          <w:sz w:val="24"/>
          <w:szCs w:val="24"/>
        </w:rPr>
        <w:t xml:space="preserve">footpath </w:t>
      </w:r>
      <w:r w:rsidR="00D71239">
        <w:rPr>
          <w:rFonts w:ascii="Arial" w:hAnsi="Arial" w:cs="Arial"/>
          <w:sz w:val="24"/>
          <w:szCs w:val="24"/>
        </w:rPr>
        <w:t>MH2</w:t>
      </w:r>
      <w:r w:rsidR="00314DC5">
        <w:rPr>
          <w:rFonts w:ascii="Arial" w:hAnsi="Arial" w:cs="Arial"/>
          <w:sz w:val="24"/>
          <w:szCs w:val="24"/>
        </w:rPr>
        <w:t>)</w:t>
      </w:r>
      <w:r w:rsidR="004D3056">
        <w:rPr>
          <w:rFonts w:ascii="Arial" w:hAnsi="Arial" w:cs="Arial"/>
          <w:sz w:val="24"/>
          <w:szCs w:val="24"/>
        </w:rPr>
        <w:t xml:space="preserve"> over the walk which drops under it.</w:t>
      </w:r>
      <w:r w:rsidR="000C5647">
        <w:rPr>
          <w:rFonts w:ascii="Arial" w:hAnsi="Arial" w:cs="Arial"/>
          <w:sz w:val="24"/>
          <w:szCs w:val="24"/>
        </w:rPr>
        <w:t xml:space="preserve"> </w:t>
      </w:r>
      <w:r w:rsidR="009918E3">
        <w:rPr>
          <w:rFonts w:ascii="Arial" w:hAnsi="Arial" w:cs="Arial"/>
          <w:sz w:val="24"/>
          <w:szCs w:val="24"/>
        </w:rPr>
        <w:t xml:space="preserve">Sale particulars of </w:t>
      </w:r>
      <w:r w:rsidR="000A4780">
        <w:rPr>
          <w:rFonts w:ascii="Arial" w:hAnsi="Arial" w:cs="Arial"/>
          <w:sz w:val="24"/>
          <w:szCs w:val="24"/>
        </w:rPr>
        <w:t>1855</w:t>
      </w:r>
      <w:r w:rsidR="009918E3">
        <w:rPr>
          <w:rStyle w:val="FootnoteReference"/>
          <w:rFonts w:ascii="Arial" w:hAnsi="Arial" w:cs="Arial"/>
          <w:sz w:val="24"/>
          <w:szCs w:val="24"/>
        </w:rPr>
        <w:footnoteReference w:id="16"/>
      </w:r>
      <w:r w:rsidR="000A4780">
        <w:rPr>
          <w:rFonts w:ascii="Arial" w:hAnsi="Arial" w:cs="Arial"/>
          <w:sz w:val="24"/>
          <w:szCs w:val="24"/>
        </w:rPr>
        <w:t xml:space="preserve"> describe the walk as “dry and shady.. opening at various points to cheerful views of the opposite hills and other pleasing scenery.”</w:t>
      </w:r>
    </w:p>
    <w:p w14:paraId="377CCB8D" w14:textId="537D3719" w:rsidR="00571892" w:rsidRDefault="004D3056">
      <w:pPr>
        <w:rPr>
          <w:rFonts w:ascii="Arial" w:hAnsi="Arial" w:cs="Arial"/>
          <w:sz w:val="24"/>
          <w:szCs w:val="24"/>
        </w:rPr>
      </w:pPr>
      <w:r>
        <w:rPr>
          <w:rFonts w:ascii="Arial" w:hAnsi="Arial" w:cs="Arial"/>
          <w:noProof/>
          <w:sz w:val="24"/>
          <w:szCs w:val="24"/>
        </w:rPr>
        <w:drawing>
          <wp:inline distT="0" distB="0" distL="0" distR="0" wp14:anchorId="32C3F199" wp14:editId="439C0F51">
            <wp:extent cx="5757863" cy="3838575"/>
            <wp:effectExtent l="0" t="0" r="0" b="0"/>
            <wp:docPr id="4" name="Picture 4" descr="A picture containing grass,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5100" cy="3843400"/>
                    </a:xfrm>
                    <a:prstGeom prst="rect">
                      <a:avLst/>
                    </a:prstGeom>
                  </pic:spPr>
                </pic:pic>
              </a:graphicData>
            </a:graphic>
          </wp:inline>
        </w:drawing>
      </w:r>
    </w:p>
    <w:p w14:paraId="05B7A65B" w14:textId="755DC75B" w:rsidR="004D3056" w:rsidRPr="004D3056" w:rsidRDefault="004D3056">
      <w:pPr>
        <w:rPr>
          <w:rFonts w:ascii="Arial" w:hAnsi="Arial" w:cs="Arial"/>
          <w:i/>
          <w:iCs/>
          <w:sz w:val="24"/>
          <w:szCs w:val="24"/>
        </w:rPr>
      </w:pPr>
      <w:r w:rsidRPr="004D3056">
        <w:rPr>
          <w:rFonts w:ascii="Arial" w:hAnsi="Arial" w:cs="Arial"/>
          <w:i/>
          <w:iCs/>
          <w:sz w:val="24"/>
          <w:szCs w:val="24"/>
        </w:rPr>
        <w:t xml:space="preserve">Fig 4: Bridge carrying public track over the walk </w:t>
      </w:r>
      <w:r w:rsidR="006C1117">
        <w:rPr>
          <w:rFonts w:ascii="Arial" w:hAnsi="Arial" w:cs="Arial"/>
          <w:i/>
          <w:iCs/>
          <w:sz w:val="24"/>
          <w:szCs w:val="24"/>
        </w:rPr>
        <w:t>(The author)</w:t>
      </w:r>
    </w:p>
    <w:p w14:paraId="44F1D2ED" w14:textId="77777777" w:rsidR="004D3056" w:rsidRDefault="004D3056">
      <w:pPr>
        <w:rPr>
          <w:rFonts w:ascii="Arial" w:hAnsi="Arial" w:cs="Arial"/>
          <w:sz w:val="24"/>
          <w:szCs w:val="24"/>
        </w:rPr>
      </w:pPr>
      <w:r>
        <w:rPr>
          <w:rFonts w:ascii="Arial" w:hAnsi="Arial" w:cs="Arial"/>
          <w:noProof/>
          <w:sz w:val="24"/>
          <w:szCs w:val="24"/>
        </w:rPr>
        <w:lastRenderedPageBreak/>
        <w:drawing>
          <wp:inline distT="0" distB="0" distL="0" distR="0" wp14:anchorId="44F1CB47" wp14:editId="2A9CFAB6">
            <wp:extent cx="4757738" cy="3171825"/>
            <wp:effectExtent l="0" t="0" r="5080" b="0"/>
            <wp:docPr id="6" name="Picture 6" descr="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th through a fores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8056" cy="3172037"/>
                    </a:xfrm>
                    <a:prstGeom prst="rect">
                      <a:avLst/>
                    </a:prstGeom>
                  </pic:spPr>
                </pic:pic>
              </a:graphicData>
            </a:graphic>
          </wp:inline>
        </w:drawing>
      </w:r>
    </w:p>
    <w:p w14:paraId="7FDD6659" w14:textId="38FE53F4" w:rsidR="004D3056" w:rsidRPr="004D3056" w:rsidRDefault="004D3056">
      <w:pPr>
        <w:rPr>
          <w:rFonts w:ascii="Arial" w:hAnsi="Arial" w:cs="Arial"/>
          <w:i/>
          <w:iCs/>
          <w:sz w:val="24"/>
          <w:szCs w:val="24"/>
        </w:rPr>
      </w:pPr>
      <w:r w:rsidRPr="004D3056">
        <w:rPr>
          <w:rFonts w:ascii="Arial" w:hAnsi="Arial" w:cs="Arial"/>
          <w:i/>
          <w:iCs/>
          <w:sz w:val="24"/>
          <w:szCs w:val="24"/>
        </w:rPr>
        <w:t>Fig 5: Walls of track over the bridge (</w:t>
      </w:r>
      <w:r>
        <w:rPr>
          <w:rFonts w:ascii="Arial" w:hAnsi="Arial" w:cs="Arial"/>
          <w:i/>
          <w:iCs/>
          <w:sz w:val="24"/>
          <w:szCs w:val="24"/>
        </w:rPr>
        <w:t xml:space="preserve">recent </w:t>
      </w:r>
      <w:r w:rsidRPr="004D3056">
        <w:rPr>
          <w:rFonts w:ascii="Arial" w:hAnsi="Arial" w:cs="Arial"/>
          <w:i/>
          <w:iCs/>
          <w:sz w:val="24"/>
          <w:szCs w:val="24"/>
        </w:rPr>
        <w:t>breaks have been made in the walls to facilitate passage parallel to the walk which is silted up under the bridge</w:t>
      </w:r>
      <w:r>
        <w:rPr>
          <w:rFonts w:ascii="Arial" w:hAnsi="Arial" w:cs="Arial"/>
          <w:i/>
          <w:iCs/>
          <w:sz w:val="24"/>
          <w:szCs w:val="24"/>
        </w:rPr>
        <w:t>)</w:t>
      </w:r>
      <w:r w:rsidR="006C1117">
        <w:rPr>
          <w:rFonts w:ascii="Arial" w:hAnsi="Arial" w:cs="Arial"/>
          <w:i/>
          <w:iCs/>
          <w:sz w:val="24"/>
          <w:szCs w:val="24"/>
        </w:rPr>
        <w:t xml:space="preserve"> (The author)</w:t>
      </w:r>
    </w:p>
    <w:p w14:paraId="70A6A10F" w14:textId="144198F1" w:rsidR="007B7181" w:rsidRDefault="007B7181" w:rsidP="007B7181">
      <w:pPr>
        <w:rPr>
          <w:rFonts w:ascii="Arial" w:hAnsi="Arial" w:cs="Arial"/>
          <w:sz w:val="24"/>
          <w:szCs w:val="24"/>
        </w:rPr>
      </w:pPr>
      <w:r>
        <w:rPr>
          <w:rFonts w:ascii="Arial" w:hAnsi="Arial" w:cs="Arial"/>
          <w:sz w:val="24"/>
          <w:szCs w:val="24"/>
        </w:rPr>
        <w:t>The walk leads to a Gothick eyecatcher (architect unknown</w:t>
      </w:r>
      <w:r>
        <w:rPr>
          <w:rStyle w:val="FootnoteReference"/>
          <w:rFonts w:ascii="Arial" w:hAnsi="Arial" w:cs="Arial"/>
          <w:sz w:val="24"/>
          <w:szCs w:val="24"/>
        </w:rPr>
        <w:footnoteReference w:id="17"/>
      </w:r>
      <w:r>
        <w:rPr>
          <w:rFonts w:ascii="Arial" w:hAnsi="Arial" w:cs="Arial"/>
          <w:sz w:val="24"/>
          <w:szCs w:val="24"/>
        </w:rPr>
        <w:t>; designed to be seen</w:t>
      </w:r>
      <w:r w:rsidR="004B308D">
        <w:rPr>
          <w:rFonts w:ascii="Arial" w:hAnsi="Arial" w:cs="Arial"/>
          <w:sz w:val="24"/>
          <w:szCs w:val="24"/>
        </w:rPr>
        <w:t xml:space="preserve">, in a break in the treeline, </w:t>
      </w:r>
      <w:r>
        <w:rPr>
          <w:rFonts w:ascii="Arial" w:hAnsi="Arial" w:cs="Arial"/>
          <w:sz w:val="24"/>
          <w:szCs w:val="24"/>
        </w:rPr>
        <w:t xml:space="preserve">across the park from the house) consisting of two round towers joined by a wide, originally open arch with crenellated parapet. Fig </w:t>
      </w:r>
      <w:r w:rsidR="004B308D">
        <w:rPr>
          <w:rFonts w:ascii="Arial" w:hAnsi="Arial" w:cs="Arial"/>
          <w:sz w:val="24"/>
          <w:szCs w:val="24"/>
        </w:rPr>
        <w:t>6</w:t>
      </w:r>
      <w:r>
        <w:rPr>
          <w:rFonts w:ascii="Arial" w:hAnsi="Arial" w:cs="Arial"/>
          <w:sz w:val="24"/>
          <w:szCs w:val="24"/>
        </w:rPr>
        <w:t xml:space="preserve"> </w:t>
      </w:r>
      <w:r w:rsidR="0037364B">
        <w:rPr>
          <w:rFonts w:ascii="Arial" w:hAnsi="Arial" w:cs="Arial"/>
          <w:sz w:val="24"/>
          <w:szCs w:val="24"/>
        </w:rPr>
        <w:t xml:space="preserve">shows the building after its conversion into a house, when </w:t>
      </w:r>
      <w:r>
        <w:rPr>
          <w:rFonts w:ascii="Arial" w:hAnsi="Arial" w:cs="Arial"/>
          <w:sz w:val="24"/>
          <w:szCs w:val="24"/>
        </w:rPr>
        <w:t>the arch opening was completely blocked in</w:t>
      </w:r>
      <w:r w:rsidR="0099088C">
        <w:rPr>
          <w:rStyle w:val="FootnoteReference"/>
          <w:rFonts w:ascii="Arial" w:hAnsi="Arial" w:cs="Arial"/>
          <w:sz w:val="24"/>
          <w:szCs w:val="24"/>
        </w:rPr>
        <w:footnoteReference w:id="18"/>
      </w:r>
      <w:r>
        <w:rPr>
          <w:rFonts w:ascii="Arial" w:hAnsi="Arial" w:cs="Arial"/>
          <w:sz w:val="24"/>
          <w:szCs w:val="24"/>
        </w:rPr>
        <w:t>. There is no sign of any track ever having led through the arch, but this photo suggests that there may have been some form of terrace in front of it.</w:t>
      </w:r>
    </w:p>
    <w:p w14:paraId="437DA713" w14:textId="3A5E6024" w:rsidR="007B7181" w:rsidRDefault="007B7181" w:rsidP="007B7181">
      <w:pPr>
        <w:rPr>
          <w:rFonts w:ascii="Arial" w:hAnsi="Arial" w:cs="Arial"/>
          <w:sz w:val="24"/>
          <w:szCs w:val="24"/>
        </w:rPr>
      </w:pPr>
      <w:r>
        <w:rPr>
          <w:rFonts w:ascii="Arial" w:hAnsi="Arial" w:cs="Arial"/>
          <w:sz w:val="24"/>
          <w:szCs w:val="24"/>
        </w:rPr>
        <w:t>Agnes Witts</w:t>
      </w:r>
      <w:r w:rsidR="00E072E9">
        <w:rPr>
          <w:rFonts w:ascii="Arial" w:hAnsi="Arial" w:cs="Arial"/>
          <w:sz w:val="24"/>
          <w:szCs w:val="24"/>
        </w:rPr>
        <w:t xml:space="preserve"> (see above) </w:t>
      </w:r>
      <w:r w:rsidR="0099088C">
        <w:rPr>
          <w:rFonts w:ascii="Arial" w:hAnsi="Arial" w:cs="Arial"/>
          <w:sz w:val="24"/>
          <w:szCs w:val="24"/>
        </w:rPr>
        <w:t xml:space="preserve">records </w:t>
      </w:r>
      <w:r w:rsidR="00E072E9">
        <w:rPr>
          <w:rFonts w:ascii="Arial" w:hAnsi="Arial" w:cs="Arial"/>
          <w:sz w:val="24"/>
          <w:szCs w:val="24"/>
        </w:rPr>
        <w:t>that o</w:t>
      </w:r>
      <w:r>
        <w:rPr>
          <w:rFonts w:ascii="Arial" w:hAnsi="Arial" w:cs="Arial"/>
          <w:sz w:val="24"/>
          <w:szCs w:val="24"/>
        </w:rPr>
        <w:t>n 26 June 1791, she joined the Pauls and other guests: “All walk’d to the Towers &amp; back again”</w:t>
      </w:r>
      <w:r>
        <w:rPr>
          <w:rStyle w:val="FootnoteReference"/>
          <w:rFonts w:ascii="Arial" w:hAnsi="Arial" w:cs="Arial"/>
          <w:sz w:val="24"/>
          <w:szCs w:val="24"/>
        </w:rPr>
        <w:footnoteReference w:id="19"/>
      </w:r>
      <w:r>
        <w:rPr>
          <w:rFonts w:ascii="Arial" w:hAnsi="Arial" w:cs="Arial"/>
          <w:sz w:val="24"/>
          <w:szCs w:val="24"/>
        </w:rPr>
        <w:t xml:space="preserve"> – implying that the folly was a destination point rather than part of a circular route. Although this suggests that Sir George himself may have called the building The Towers, it has been known by various </w:t>
      </w:r>
      <w:r>
        <w:rPr>
          <w:rFonts w:ascii="Arial" w:hAnsi="Arial" w:cs="Arial"/>
          <w:sz w:val="24"/>
          <w:szCs w:val="24"/>
        </w:rPr>
        <w:lastRenderedPageBreak/>
        <w:t>names, including The Hermitage, The Castle, The Amberley Eyecatcher and The Gateway (the name used in the Grade II listing</w:t>
      </w:r>
      <w:r>
        <w:rPr>
          <w:rStyle w:val="FootnoteReference"/>
          <w:rFonts w:ascii="Arial" w:hAnsi="Arial" w:cs="Arial"/>
          <w:sz w:val="24"/>
          <w:szCs w:val="24"/>
        </w:rPr>
        <w:footnoteReference w:id="20"/>
      </w:r>
      <w:r>
        <w:rPr>
          <w:rFonts w:ascii="Arial" w:hAnsi="Arial" w:cs="Arial"/>
          <w:sz w:val="24"/>
          <w:szCs w:val="24"/>
        </w:rPr>
        <w:t xml:space="preserve">). </w:t>
      </w:r>
    </w:p>
    <w:p w14:paraId="768CC141" w14:textId="77777777" w:rsidR="00571892" w:rsidRDefault="00571892">
      <w:pPr>
        <w:rPr>
          <w:rFonts w:ascii="Arial" w:hAnsi="Arial" w:cs="Arial"/>
          <w:sz w:val="24"/>
          <w:szCs w:val="24"/>
        </w:rPr>
      </w:pPr>
      <w:r w:rsidRPr="00571892">
        <w:rPr>
          <w:noProof/>
        </w:rPr>
        <w:drawing>
          <wp:inline distT="0" distB="0" distL="0" distR="0" wp14:anchorId="2140FA58" wp14:editId="462ADB80">
            <wp:extent cx="4467225" cy="3420101"/>
            <wp:effectExtent l="0" t="0" r="0" b="9525"/>
            <wp:docPr id="3" name="Picture 3" descr="A picture containing tree, outdoor, ol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old, white&#10;&#10;Description automatically generated"/>
                    <pic:cNvPicPr/>
                  </pic:nvPicPr>
                  <pic:blipFill>
                    <a:blip r:embed="rId13"/>
                    <a:stretch>
                      <a:fillRect/>
                    </a:stretch>
                  </pic:blipFill>
                  <pic:spPr>
                    <a:xfrm>
                      <a:off x="0" y="0"/>
                      <a:ext cx="4503887" cy="3448169"/>
                    </a:xfrm>
                    <a:prstGeom prst="rect">
                      <a:avLst/>
                    </a:prstGeom>
                  </pic:spPr>
                </pic:pic>
              </a:graphicData>
            </a:graphic>
          </wp:inline>
        </w:drawing>
      </w:r>
    </w:p>
    <w:p w14:paraId="0D5A251A" w14:textId="04B5D3F9" w:rsidR="002C1512" w:rsidRDefault="00571892">
      <w:pPr>
        <w:rPr>
          <w:rFonts w:ascii="Arial" w:hAnsi="Arial" w:cs="Arial"/>
          <w:i/>
          <w:iCs/>
          <w:sz w:val="24"/>
          <w:szCs w:val="24"/>
        </w:rPr>
      </w:pPr>
      <w:r w:rsidRPr="00571892">
        <w:rPr>
          <w:rFonts w:ascii="Arial" w:hAnsi="Arial" w:cs="Arial"/>
          <w:i/>
          <w:iCs/>
          <w:sz w:val="24"/>
          <w:szCs w:val="24"/>
        </w:rPr>
        <w:t xml:space="preserve">Fig </w:t>
      </w:r>
      <w:r w:rsidR="007B7181">
        <w:rPr>
          <w:rFonts w:ascii="Arial" w:hAnsi="Arial" w:cs="Arial"/>
          <w:i/>
          <w:iCs/>
          <w:sz w:val="24"/>
          <w:szCs w:val="24"/>
        </w:rPr>
        <w:t>6</w:t>
      </w:r>
      <w:r w:rsidRPr="00571892">
        <w:rPr>
          <w:rFonts w:ascii="Arial" w:hAnsi="Arial" w:cs="Arial"/>
          <w:i/>
          <w:iCs/>
          <w:sz w:val="24"/>
          <w:szCs w:val="24"/>
        </w:rPr>
        <w:t>: The Gateway (</w:t>
      </w:r>
      <w:r w:rsidR="0037364B">
        <w:rPr>
          <w:rFonts w:ascii="Arial" w:hAnsi="Arial" w:cs="Arial"/>
          <w:i/>
          <w:iCs/>
          <w:sz w:val="24"/>
          <w:szCs w:val="24"/>
        </w:rPr>
        <w:t>after its conversion to a house</w:t>
      </w:r>
      <w:r w:rsidRPr="00571892">
        <w:rPr>
          <w:rFonts w:ascii="Arial" w:hAnsi="Arial" w:cs="Arial"/>
          <w:i/>
          <w:iCs/>
          <w:sz w:val="24"/>
          <w:szCs w:val="24"/>
        </w:rPr>
        <w:t>)</w:t>
      </w:r>
      <w:r w:rsidR="006C1117">
        <w:rPr>
          <w:rFonts w:ascii="Arial" w:hAnsi="Arial" w:cs="Arial"/>
          <w:i/>
          <w:iCs/>
          <w:sz w:val="24"/>
          <w:szCs w:val="24"/>
        </w:rPr>
        <w:t xml:space="preserve"> (</w:t>
      </w:r>
      <w:r w:rsidR="00D31B08">
        <w:rPr>
          <w:rFonts w:ascii="Arial" w:hAnsi="Arial" w:cs="Arial"/>
          <w:i/>
          <w:iCs/>
          <w:sz w:val="24"/>
          <w:szCs w:val="24"/>
        </w:rPr>
        <w:t>Minchinhampton Local History Group</w:t>
      </w:r>
      <w:r w:rsidR="006C1117">
        <w:rPr>
          <w:rFonts w:ascii="Arial" w:hAnsi="Arial" w:cs="Arial"/>
          <w:i/>
          <w:iCs/>
          <w:sz w:val="24"/>
          <w:szCs w:val="24"/>
        </w:rPr>
        <w:t>)</w:t>
      </w:r>
    </w:p>
    <w:p w14:paraId="62CADB99" w14:textId="1B575A9F" w:rsidR="007B7181" w:rsidRDefault="0095420A" w:rsidP="007B7181">
      <w:pPr>
        <w:rPr>
          <w:rFonts w:ascii="Arial" w:hAnsi="Arial" w:cs="Arial"/>
          <w:sz w:val="24"/>
          <w:szCs w:val="24"/>
        </w:rPr>
      </w:pPr>
      <w:r>
        <w:rPr>
          <w:rFonts w:ascii="Arial" w:hAnsi="Arial" w:cs="Arial"/>
          <w:sz w:val="24"/>
          <w:szCs w:val="24"/>
        </w:rPr>
        <w:t>S</w:t>
      </w:r>
      <w:r w:rsidR="00B664BB">
        <w:rPr>
          <w:rFonts w:ascii="Arial" w:hAnsi="Arial" w:cs="Arial"/>
          <w:sz w:val="24"/>
          <w:szCs w:val="24"/>
        </w:rPr>
        <w:t>ale particulars</w:t>
      </w:r>
      <w:r>
        <w:rPr>
          <w:rFonts w:ascii="Arial" w:hAnsi="Arial" w:cs="Arial"/>
          <w:sz w:val="24"/>
          <w:szCs w:val="24"/>
        </w:rPr>
        <w:t xml:space="preserve"> dated 1855</w:t>
      </w:r>
      <w:r>
        <w:rPr>
          <w:rStyle w:val="FootnoteReference"/>
          <w:rFonts w:ascii="Arial" w:hAnsi="Arial" w:cs="Arial"/>
          <w:sz w:val="24"/>
          <w:szCs w:val="24"/>
        </w:rPr>
        <w:footnoteReference w:id="21"/>
      </w:r>
      <w:r w:rsidR="002D3E1D">
        <w:rPr>
          <w:rFonts w:ascii="Arial" w:hAnsi="Arial" w:cs="Arial"/>
          <w:sz w:val="24"/>
          <w:szCs w:val="24"/>
        </w:rPr>
        <w:t xml:space="preserve"> show</w:t>
      </w:r>
      <w:r w:rsidR="00B664BB">
        <w:rPr>
          <w:rFonts w:ascii="Arial" w:hAnsi="Arial" w:cs="Arial"/>
          <w:sz w:val="24"/>
          <w:szCs w:val="24"/>
        </w:rPr>
        <w:t xml:space="preserve"> t</w:t>
      </w:r>
      <w:r w:rsidR="00E239BE">
        <w:rPr>
          <w:rFonts w:ascii="Arial" w:hAnsi="Arial" w:cs="Arial"/>
          <w:sz w:val="24"/>
          <w:szCs w:val="24"/>
        </w:rPr>
        <w:t xml:space="preserve">he walk </w:t>
      </w:r>
      <w:r w:rsidR="002D3E1D">
        <w:rPr>
          <w:rFonts w:ascii="Arial" w:hAnsi="Arial" w:cs="Arial"/>
          <w:sz w:val="24"/>
          <w:szCs w:val="24"/>
        </w:rPr>
        <w:t xml:space="preserve">leading </w:t>
      </w:r>
      <w:r w:rsidR="00E239BE">
        <w:rPr>
          <w:rFonts w:ascii="Arial" w:hAnsi="Arial" w:cs="Arial"/>
          <w:sz w:val="24"/>
          <w:szCs w:val="24"/>
        </w:rPr>
        <w:t xml:space="preserve">directly from Hill House but the initial section is now blocked by </w:t>
      </w:r>
      <w:r w:rsidR="008C504B">
        <w:rPr>
          <w:rFonts w:ascii="Arial" w:hAnsi="Arial" w:cs="Arial"/>
          <w:sz w:val="24"/>
          <w:szCs w:val="24"/>
        </w:rPr>
        <w:t>Spinney Bank (formerly The Bungalow) built c.1959</w:t>
      </w:r>
      <w:r w:rsidR="008C504B">
        <w:rPr>
          <w:rStyle w:val="FootnoteReference"/>
          <w:rFonts w:ascii="Arial" w:hAnsi="Arial" w:cs="Arial"/>
          <w:sz w:val="24"/>
          <w:szCs w:val="24"/>
        </w:rPr>
        <w:footnoteReference w:id="22"/>
      </w:r>
      <w:r w:rsidR="008C504B">
        <w:rPr>
          <w:rFonts w:ascii="Arial" w:hAnsi="Arial" w:cs="Arial"/>
          <w:sz w:val="24"/>
          <w:szCs w:val="24"/>
        </w:rPr>
        <w:t xml:space="preserve">. </w:t>
      </w:r>
      <w:r w:rsidR="00030302">
        <w:rPr>
          <w:rFonts w:ascii="Arial" w:hAnsi="Arial" w:cs="Arial"/>
          <w:sz w:val="24"/>
          <w:szCs w:val="24"/>
        </w:rPr>
        <w:t>Annex B</w:t>
      </w:r>
      <w:r w:rsidR="007670F0">
        <w:rPr>
          <w:rFonts w:ascii="Arial" w:hAnsi="Arial" w:cs="Arial"/>
          <w:sz w:val="24"/>
          <w:szCs w:val="24"/>
        </w:rPr>
        <w:t xml:space="preserve"> </w:t>
      </w:r>
      <w:r w:rsidR="00113DE4">
        <w:rPr>
          <w:rFonts w:ascii="Arial" w:hAnsi="Arial" w:cs="Arial"/>
          <w:sz w:val="24"/>
          <w:szCs w:val="24"/>
        </w:rPr>
        <w:t xml:space="preserve">to this report </w:t>
      </w:r>
      <w:r w:rsidR="007670F0">
        <w:rPr>
          <w:rFonts w:ascii="Arial" w:hAnsi="Arial" w:cs="Arial"/>
          <w:sz w:val="24"/>
          <w:szCs w:val="24"/>
        </w:rPr>
        <w:t xml:space="preserve">shows the route of the walk and 2021 public rights of way: The first section can be easily </w:t>
      </w:r>
      <w:r w:rsidR="00B664BB">
        <w:rPr>
          <w:rFonts w:ascii="Arial" w:hAnsi="Arial" w:cs="Arial"/>
          <w:sz w:val="24"/>
          <w:szCs w:val="24"/>
        </w:rPr>
        <w:t>viewed</w:t>
      </w:r>
      <w:r w:rsidR="007670F0">
        <w:rPr>
          <w:rFonts w:ascii="Arial" w:hAnsi="Arial" w:cs="Arial"/>
          <w:sz w:val="24"/>
          <w:szCs w:val="24"/>
        </w:rPr>
        <w:t xml:space="preserve"> by following the parallel bridleway MRO73 (accessed from immediately east of the entrance to Rodborough Manor on Bear Hill)</w:t>
      </w:r>
      <w:r w:rsidR="008C504B">
        <w:rPr>
          <w:rFonts w:ascii="Arial" w:hAnsi="Arial" w:cs="Arial"/>
          <w:sz w:val="24"/>
          <w:szCs w:val="24"/>
        </w:rPr>
        <w:t>;</w:t>
      </w:r>
      <w:r w:rsidR="007670F0">
        <w:rPr>
          <w:rFonts w:ascii="Arial" w:hAnsi="Arial" w:cs="Arial"/>
          <w:sz w:val="24"/>
          <w:szCs w:val="24"/>
        </w:rPr>
        <w:t xml:space="preserve"> once past Spinney Bank</w:t>
      </w:r>
      <w:r w:rsidR="008C504B">
        <w:rPr>
          <w:rFonts w:ascii="Arial" w:hAnsi="Arial" w:cs="Arial"/>
          <w:sz w:val="24"/>
          <w:szCs w:val="24"/>
        </w:rPr>
        <w:t>, public access along the walk itself</w:t>
      </w:r>
      <w:r w:rsidR="007670F0">
        <w:rPr>
          <w:rFonts w:ascii="Arial" w:hAnsi="Arial" w:cs="Arial"/>
          <w:sz w:val="24"/>
          <w:szCs w:val="24"/>
        </w:rPr>
        <w:t xml:space="preserve"> appears to be tolerated</w:t>
      </w:r>
      <w:r w:rsidR="007670F0">
        <w:rPr>
          <w:rStyle w:val="FootnoteReference"/>
          <w:rFonts w:ascii="Arial" w:hAnsi="Arial" w:cs="Arial"/>
          <w:sz w:val="24"/>
          <w:szCs w:val="24"/>
        </w:rPr>
        <w:footnoteReference w:id="23"/>
      </w:r>
      <w:r w:rsidR="007670F0">
        <w:rPr>
          <w:rFonts w:ascii="Arial" w:hAnsi="Arial" w:cs="Arial"/>
          <w:sz w:val="24"/>
          <w:szCs w:val="24"/>
        </w:rPr>
        <w:t xml:space="preserve"> and further </w:t>
      </w:r>
      <w:r w:rsidR="007670F0">
        <w:rPr>
          <w:rFonts w:ascii="Arial" w:hAnsi="Arial" w:cs="Arial"/>
          <w:sz w:val="24"/>
          <w:szCs w:val="24"/>
        </w:rPr>
        <w:lastRenderedPageBreak/>
        <w:t>along th</w:t>
      </w:r>
      <w:r w:rsidR="00694CD7">
        <w:rPr>
          <w:rFonts w:ascii="Arial" w:hAnsi="Arial" w:cs="Arial"/>
          <w:sz w:val="24"/>
          <w:szCs w:val="24"/>
        </w:rPr>
        <w:t>e</w:t>
      </w:r>
      <w:r w:rsidR="007670F0">
        <w:rPr>
          <w:rFonts w:ascii="Arial" w:hAnsi="Arial" w:cs="Arial"/>
          <w:sz w:val="24"/>
          <w:szCs w:val="24"/>
        </w:rPr>
        <w:t xml:space="preserve"> walk has been adopted as bridleway MMH182 and continues as such up to the curtilage of The Gateway</w:t>
      </w:r>
      <w:r w:rsidR="007B7181">
        <w:rPr>
          <w:rFonts w:ascii="Arial" w:hAnsi="Arial" w:cs="Arial"/>
          <w:sz w:val="24"/>
          <w:szCs w:val="24"/>
        </w:rPr>
        <w:t>.</w:t>
      </w:r>
      <w:r w:rsidR="007B7181" w:rsidRPr="007B7181">
        <w:rPr>
          <w:rFonts w:ascii="Arial" w:hAnsi="Arial" w:cs="Arial"/>
          <w:sz w:val="24"/>
          <w:szCs w:val="24"/>
        </w:rPr>
        <w:t xml:space="preserve"> </w:t>
      </w:r>
    </w:p>
    <w:p w14:paraId="7D831EA7" w14:textId="4BE672B1" w:rsidR="007B7181" w:rsidRDefault="007B7181" w:rsidP="007B7181">
      <w:pPr>
        <w:rPr>
          <w:rFonts w:ascii="Arial" w:hAnsi="Arial" w:cs="Arial"/>
          <w:sz w:val="24"/>
          <w:szCs w:val="24"/>
        </w:rPr>
      </w:pPr>
      <w:r>
        <w:rPr>
          <w:rFonts w:ascii="Arial" w:hAnsi="Arial" w:cs="Arial"/>
          <w:sz w:val="24"/>
          <w:szCs w:val="24"/>
        </w:rPr>
        <w:t>At some point between 1870 and 1882 when the OS 25” map was surveyed a new drive was constructed across the park from the Bath Road (A46) and a new lodge built</w:t>
      </w:r>
      <w:r>
        <w:rPr>
          <w:rStyle w:val="FootnoteReference"/>
          <w:rFonts w:ascii="Arial" w:hAnsi="Arial" w:cs="Arial"/>
          <w:sz w:val="24"/>
          <w:szCs w:val="24"/>
        </w:rPr>
        <w:footnoteReference w:id="24"/>
      </w:r>
      <w:r>
        <w:rPr>
          <w:rFonts w:ascii="Arial" w:hAnsi="Arial" w:cs="Arial"/>
          <w:sz w:val="24"/>
          <w:szCs w:val="24"/>
        </w:rPr>
        <w:t>. The lodge survives but the drive was abandoned after the 1906 fire</w:t>
      </w:r>
      <w:r>
        <w:rPr>
          <w:rStyle w:val="FootnoteReference"/>
          <w:rFonts w:ascii="Arial" w:hAnsi="Arial" w:cs="Arial"/>
          <w:sz w:val="24"/>
          <w:szCs w:val="24"/>
        </w:rPr>
        <w:footnoteReference w:id="25"/>
      </w:r>
      <w:r>
        <w:rPr>
          <w:rFonts w:ascii="Arial" w:hAnsi="Arial" w:cs="Arial"/>
          <w:sz w:val="24"/>
          <w:szCs w:val="24"/>
        </w:rPr>
        <w:t xml:space="preserve">. </w:t>
      </w:r>
    </w:p>
    <w:p w14:paraId="0BCA23D3" w14:textId="2D167913" w:rsidR="009E19D0" w:rsidRDefault="007670F0">
      <w:pPr>
        <w:rPr>
          <w:rFonts w:ascii="Arial" w:hAnsi="Arial" w:cs="Arial"/>
          <w:sz w:val="24"/>
          <w:szCs w:val="24"/>
        </w:rPr>
      </w:pPr>
      <w:r>
        <w:rPr>
          <w:rFonts w:ascii="Arial" w:hAnsi="Arial" w:cs="Arial"/>
          <w:sz w:val="24"/>
          <w:szCs w:val="24"/>
        </w:rPr>
        <w:t>.</w:t>
      </w:r>
      <w:r w:rsidR="009E19D0" w:rsidRPr="009E19D0">
        <w:rPr>
          <w:rFonts w:ascii="Arial" w:hAnsi="Arial" w:cs="Arial"/>
          <w:noProof/>
          <w:sz w:val="24"/>
          <w:szCs w:val="24"/>
        </w:rPr>
        <w:drawing>
          <wp:inline distT="0" distB="0" distL="0" distR="0" wp14:anchorId="56EC1B38" wp14:editId="4056C030">
            <wp:extent cx="5600700" cy="2483816"/>
            <wp:effectExtent l="0" t="0" r="0" b="0"/>
            <wp:docPr id="12" name="Picture 12"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with low confidence"/>
                    <pic:cNvPicPr/>
                  </pic:nvPicPr>
                  <pic:blipFill>
                    <a:blip r:embed="rId14"/>
                    <a:stretch>
                      <a:fillRect/>
                    </a:stretch>
                  </pic:blipFill>
                  <pic:spPr>
                    <a:xfrm>
                      <a:off x="0" y="0"/>
                      <a:ext cx="5613282" cy="2489396"/>
                    </a:xfrm>
                    <a:prstGeom prst="rect">
                      <a:avLst/>
                    </a:prstGeom>
                  </pic:spPr>
                </pic:pic>
              </a:graphicData>
            </a:graphic>
          </wp:inline>
        </w:drawing>
      </w:r>
    </w:p>
    <w:p w14:paraId="2954239E" w14:textId="6A2A4E59" w:rsidR="009E19D0" w:rsidRPr="009E19D0" w:rsidRDefault="009E19D0">
      <w:pPr>
        <w:rPr>
          <w:rFonts w:ascii="Arial" w:hAnsi="Arial" w:cs="Arial"/>
          <w:i/>
          <w:iCs/>
          <w:sz w:val="24"/>
          <w:szCs w:val="24"/>
        </w:rPr>
      </w:pPr>
      <w:r w:rsidRPr="009E19D0">
        <w:rPr>
          <w:rFonts w:ascii="Arial" w:hAnsi="Arial" w:cs="Arial"/>
          <w:i/>
          <w:iCs/>
          <w:sz w:val="24"/>
          <w:szCs w:val="24"/>
        </w:rPr>
        <w:t>Fig</w:t>
      </w:r>
      <w:r w:rsidR="007B7181">
        <w:rPr>
          <w:rFonts w:ascii="Arial" w:hAnsi="Arial" w:cs="Arial"/>
          <w:i/>
          <w:iCs/>
          <w:sz w:val="24"/>
          <w:szCs w:val="24"/>
        </w:rPr>
        <w:t xml:space="preserve"> 7</w:t>
      </w:r>
      <w:r w:rsidRPr="009E19D0">
        <w:rPr>
          <w:rFonts w:ascii="Arial" w:hAnsi="Arial" w:cs="Arial"/>
          <w:i/>
          <w:iCs/>
          <w:sz w:val="24"/>
          <w:szCs w:val="24"/>
        </w:rPr>
        <w:t>: OS 25” map (surveyed 1882), showing “new” kitchen garden and recently constructed drive and lodge</w:t>
      </w:r>
      <w:r w:rsidR="006C1117">
        <w:rPr>
          <w:rFonts w:ascii="Arial" w:hAnsi="Arial" w:cs="Arial"/>
          <w:i/>
          <w:iCs/>
          <w:sz w:val="24"/>
          <w:szCs w:val="24"/>
        </w:rPr>
        <w:t xml:space="preserve"> (Gloucestershire Archives)</w:t>
      </w:r>
    </w:p>
    <w:p w14:paraId="34F31564" w14:textId="77777777" w:rsidR="002C1512" w:rsidRDefault="002C1512">
      <w:pPr>
        <w:rPr>
          <w:rFonts w:ascii="Arial" w:hAnsi="Arial" w:cs="Arial"/>
          <w:sz w:val="24"/>
          <w:szCs w:val="24"/>
        </w:rPr>
      </w:pPr>
      <w:r w:rsidRPr="002C1512">
        <w:rPr>
          <w:rFonts w:ascii="Arial" w:hAnsi="Arial" w:cs="Arial"/>
          <w:noProof/>
          <w:sz w:val="24"/>
          <w:szCs w:val="24"/>
        </w:rPr>
        <w:drawing>
          <wp:inline distT="0" distB="0" distL="0" distR="0" wp14:anchorId="5254ACE7" wp14:editId="6BE04146">
            <wp:extent cx="4068720" cy="2762250"/>
            <wp:effectExtent l="0" t="0" r="8255" b="0"/>
            <wp:docPr id="8" name="Picture 8" descr="A picture containing text, outdoor, old, vi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old, vintage&#10;&#10;Description automatically generated"/>
                    <pic:cNvPicPr/>
                  </pic:nvPicPr>
                  <pic:blipFill>
                    <a:blip r:embed="rId15"/>
                    <a:stretch>
                      <a:fillRect/>
                    </a:stretch>
                  </pic:blipFill>
                  <pic:spPr>
                    <a:xfrm>
                      <a:off x="0" y="0"/>
                      <a:ext cx="4085620" cy="2773723"/>
                    </a:xfrm>
                    <a:prstGeom prst="rect">
                      <a:avLst/>
                    </a:prstGeom>
                  </pic:spPr>
                </pic:pic>
              </a:graphicData>
            </a:graphic>
          </wp:inline>
        </w:drawing>
      </w:r>
    </w:p>
    <w:p w14:paraId="4B281498" w14:textId="20764AB0" w:rsidR="002C1512" w:rsidRDefault="002C1512">
      <w:pPr>
        <w:rPr>
          <w:rFonts w:ascii="Arial" w:hAnsi="Arial" w:cs="Arial"/>
          <w:sz w:val="24"/>
          <w:szCs w:val="24"/>
        </w:rPr>
      </w:pPr>
      <w:r w:rsidRPr="007B7181">
        <w:rPr>
          <w:rFonts w:ascii="Arial" w:hAnsi="Arial" w:cs="Arial"/>
          <w:i/>
          <w:iCs/>
          <w:sz w:val="24"/>
          <w:szCs w:val="24"/>
        </w:rPr>
        <w:lastRenderedPageBreak/>
        <w:t xml:space="preserve">Fig </w:t>
      </w:r>
      <w:r w:rsidR="007B7181" w:rsidRPr="007B7181">
        <w:rPr>
          <w:rFonts w:ascii="Arial" w:hAnsi="Arial" w:cs="Arial"/>
          <w:i/>
          <w:iCs/>
          <w:sz w:val="24"/>
          <w:szCs w:val="24"/>
        </w:rPr>
        <w:t>8</w:t>
      </w:r>
      <w:r w:rsidRPr="007B7181">
        <w:rPr>
          <w:rFonts w:ascii="Arial" w:hAnsi="Arial" w:cs="Arial"/>
          <w:i/>
          <w:iCs/>
          <w:sz w:val="24"/>
          <w:szCs w:val="24"/>
        </w:rPr>
        <w:t>: New lodge (William Clissold), c188</w:t>
      </w:r>
      <w:r w:rsidR="004B308D">
        <w:rPr>
          <w:rFonts w:ascii="Arial" w:hAnsi="Arial" w:cs="Arial"/>
          <w:i/>
          <w:iCs/>
          <w:sz w:val="24"/>
          <w:szCs w:val="24"/>
        </w:rPr>
        <w:t>2</w:t>
      </w:r>
      <w:r w:rsidRPr="006C1117">
        <w:rPr>
          <w:rFonts w:ascii="Arial" w:hAnsi="Arial" w:cs="Arial"/>
          <w:i/>
          <w:iCs/>
          <w:sz w:val="24"/>
          <w:szCs w:val="24"/>
        </w:rPr>
        <w:t>.</w:t>
      </w:r>
      <w:r w:rsidR="006C1117" w:rsidRPr="006C1117">
        <w:rPr>
          <w:rFonts w:ascii="Arial" w:hAnsi="Arial" w:cs="Arial"/>
          <w:i/>
          <w:iCs/>
          <w:sz w:val="24"/>
          <w:szCs w:val="24"/>
        </w:rPr>
        <w:t>(Gloucesershire Archives)</w:t>
      </w:r>
    </w:p>
    <w:p w14:paraId="14DDE5E4" w14:textId="4F8F7AF5" w:rsidR="00196D10" w:rsidRPr="00196D10" w:rsidRDefault="00196D10">
      <w:pPr>
        <w:rPr>
          <w:rFonts w:ascii="Arial" w:hAnsi="Arial" w:cs="Arial"/>
          <w:sz w:val="24"/>
          <w:szCs w:val="24"/>
          <w:u w:val="single"/>
        </w:rPr>
      </w:pPr>
      <w:r w:rsidRPr="00196D10">
        <w:rPr>
          <w:rFonts w:ascii="Arial" w:hAnsi="Arial" w:cs="Arial"/>
          <w:sz w:val="24"/>
          <w:szCs w:val="24"/>
          <w:u w:val="single"/>
        </w:rPr>
        <w:t>The Kitchen Garden</w:t>
      </w:r>
    </w:p>
    <w:p w14:paraId="4844AEE0" w14:textId="5A1B67A3" w:rsidR="00030302" w:rsidRDefault="00641ED5">
      <w:pPr>
        <w:rPr>
          <w:rFonts w:ascii="Arial" w:hAnsi="Arial" w:cs="Arial"/>
          <w:sz w:val="24"/>
          <w:szCs w:val="24"/>
        </w:rPr>
      </w:pPr>
      <w:r>
        <w:rPr>
          <w:rFonts w:ascii="Arial" w:hAnsi="Arial" w:cs="Arial"/>
          <w:sz w:val="24"/>
          <w:szCs w:val="24"/>
        </w:rPr>
        <w:t>The</w:t>
      </w:r>
      <w:r w:rsidR="00B305E8">
        <w:rPr>
          <w:rFonts w:ascii="Arial" w:hAnsi="Arial" w:cs="Arial"/>
          <w:sz w:val="24"/>
          <w:szCs w:val="24"/>
        </w:rPr>
        <w:t xml:space="preserve"> </w:t>
      </w:r>
      <w:r w:rsidR="00196D10">
        <w:rPr>
          <w:rFonts w:ascii="Arial" w:hAnsi="Arial" w:cs="Arial"/>
          <w:sz w:val="24"/>
          <w:szCs w:val="24"/>
        </w:rPr>
        <w:t>1855 particulars s</w:t>
      </w:r>
      <w:r>
        <w:rPr>
          <w:rFonts w:ascii="Arial" w:hAnsi="Arial" w:cs="Arial"/>
          <w:sz w:val="24"/>
          <w:szCs w:val="24"/>
        </w:rPr>
        <w:t>tate</w:t>
      </w:r>
      <w:r w:rsidR="00196D10">
        <w:rPr>
          <w:rFonts w:ascii="Arial" w:hAnsi="Arial" w:cs="Arial"/>
          <w:sz w:val="24"/>
          <w:szCs w:val="24"/>
        </w:rPr>
        <w:t xml:space="preserve"> that “The old vegetable gardens </w:t>
      </w:r>
      <w:r w:rsidR="00B305E8">
        <w:rPr>
          <w:rFonts w:ascii="Arial" w:hAnsi="Arial" w:cs="Arial"/>
          <w:sz w:val="24"/>
          <w:szCs w:val="24"/>
        </w:rPr>
        <w:t>h</w:t>
      </w:r>
      <w:r w:rsidR="00196D10">
        <w:rPr>
          <w:rFonts w:ascii="Arial" w:hAnsi="Arial" w:cs="Arial"/>
          <w:sz w:val="24"/>
          <w:szCs w:val="24"/>
        </w:rPr>
        <w:t>aving been given up</w:t>
      </w:r>
      <w:r w:rsidR="00B305E8">
        <w:rPr>
          <w:rFonts w:ascii="Arial" w:hAnsi="Arial" w:cs="Arial"/>
          <w:sz w:val="24"/>
          <w:szCs w:val="24"/>
        </w:rPr>
        <w:t xml:space="preserve">, new gardens [on a polygonal site by the turnpike at the extreme west of the park] have recently been made which at present are only in an improving state”. This suggests slow progress as the “new” kitchen gardens </w:t>
      </w:r>
      <w:r w:rsidR="005C137B">
        <w:rPr>
          <w:rFonts w:ascii="Arial" w:hAnsi="Arial" w:cs="Arial"/>
          <w:sz w:val="24"/>
          <w:szCs w:val="24"/>
        </w:rPr>
        <w:t xml:space="preserve">(1.67 acres) </w:t>
      </w:r>
      <w:r w:rsidR="00B305E8">
        <w:rPr>
          <w:rFonts w:ascii="Arial" w:hAnsi="Arial" w:cs="Arial"/>
          <w:sz w:val="24"/>
          <w:szCs w:val="24"/>
        </w:rPr>
        <w:t>are also shown on the 1839 tithe map, whereas the abandoned kitchen garden, shown on the 1855 particulars to the east of the house, was thought unworthy of including on the 1839 map</w:t>
      </w:r>
      <w:r>
        <w:rPr>
          <w:rFonts w:ascii="Arial" w:hAnsi="Arial" w:cs="Arial"/>
          <w:sz w:val="24"/>
          <w:szCs w:val="24"/>
        </w:rPr>
        <w:t xml:space="preserve"> (compare Figs</w:t>
      </w:r>
      <w:r w:rsidR="000A4780">
        <w:rPr>
          <w:rFonts w:ascii="Arial" w:hAnsi="Arial" w:cs="Arial"/>
          <w:sz w:val="24"/>
          <w:szCs w:val="24"/>
        </w:rPr>
        <w:t xml:space="preserve"> 9</w:t>
      </w:r>
      <w:r>
        <w:rPr>
          <w:rFonts w:ascii="Arial" w:hAnsi="Arial" w:cs="Arial"/>
          <w:sz w:val="24"/>
          <w:szCs w:val="24"/>
        </w:rPr>
        <w:t xml:space="preserve">  and</w:t>
      </w:r>
      <w:r w:rsidR="000A4780">
        <w:rPr>
          <w:rFonts w:ascii="Arial" w:hAnsi="Arial" w:cs="Arial"/>
          <w:sz w:val="24"/>
          <w:szCs w:val="24"/>
        </w:rPr>
        <w:t xml:space="preserve"> 10</w:t>
      </w:r>
      <w:r>
        <w:rPr>
          <w:rFonts w:ascii="Arial" w:hAnsi="Arial" w:cs="Arial"/>
          <w:sz w:val="24"/>
          <w:szCs w:val="24"/>
        </w:rPr>
        <w:t>)</w:t>
      </w:r>
      <w:r w:rsidR="00B305E8">
        <w:rPr>
          <w:rFonts w:ascii="Arial" w:hAnsi="Arial" w:cs="Arial"/>
          <w:sz w:val="24"/>
          <w:szCs w:val="24"/>
        </w:rPr>
        <w:t xml:space="preserve">. </w:t>
      </w:r>
      <w:r w:rsidR="000A4780">
        <w:rPr>
          <w:rFonts w:ascii="Arial" w:hAnsi="Arial" w:cs="Arial"/>
          <w:sz w:val="24"/>
          <w:szCs w:val="24"/>
        </w:rPr>
        <w:t>But</w:t>
      </w:r>
      <w:r w:rsidR="00B305E8">
        <w:rPr>
          <w:rFonts w:ascii="Arial" w:hAnsi="Arial" w:cs="Arial"/>
          <w:sz w:val="24"/>
          <w:szCs w:val="24"/>
        </w:rPr>
        <w:t xml:space="preserve"> by the time of </w:t>
      </w:r>
      <w:r w:rsidR="00826C5A">
        <w:rPr>
          <w:rFonts w:ascii="Arial" w:hAnsi="Arial" w:cs="Arial"/>
          <w:sz w:val="24"/>
          <w:szCs w:val="24"/>
        </w:rPr>
        <w:t>the</w:t>
      </w:r>
      <w:r w:rsidR="00B305E8">
        <w:rPr>
          <w:rFonts w:ascii="Arial" w:hAnsi="Arial" w:cs="Arial"/>
          <w:sz w:val="24"/>
          <w:szCs w:val="24"/>
        </w:rPr>
        <w:t xml:space="preserve"> further sale in 1870, the “productive” kitchen garden </w:t>
      </w:r>
      <w:r w:rsidR="00C6183B">
        <w:rPr>
          <w:rFonts w:ascii="Arial" w:hAnsi="Arial" w:cs="Arial"/>
          <w:sz w:val="24"/>
          <w:szCs w:val="24"/>
        </w:rPr>
        <w:t>“</w:t>
      </w:r>
      <w:r w:rsidR="00B305E8">
        <w:rPr>
          <w:rFonts w:ascii="Arial" w:hAnsi="Arial" w:cs="Arial"/>
          <w:sz w:val="24"/>
          <w:szCs w:val="24"/>
        </w:rPr>
        <w:t>completely surrounded by a brick wall</w:t>
      </w:r>
      <w:r w:rsidR="00826C5A">
        <w:rPr>
          <w:rFonts w:ascii="Arial" w:hAnsi="Arial" w:cs="Arial"/>
          <w:sz w:val="24"/>
          <w:szCs w:val="24"/>
        </w:rPr>
        <w:t>” is</w:t>
      </w:r>
      <w:r w:rsidR="00C6183B">
        <w:rPr>
          <w:rFonts w:ascii="Arial" w:hAnsi="Arial" w:cs="Arial"/>
          <w:sz w:val="24"/>
          <w:szCs w:val="24"/>
        </w:rPr>
        <w:t xml:space="preserve"> </w:t>
      </w:r>
      <w:r w:rsidR="00826C5A">
        <w:rPr>
          <w:rFonts w:ascii="Arial" w:hAnsi="Arial" w:cs="Arial"/>
          <w:sz w:val="24"/>
          <w:szCs w:val="24"/>
        </w:rPr>
        <w:t>“</w:t>
      </w:r>
      <w:r w:rsidR="00B305E8">
        <w:rPr>
          <w:rFonts w:ascii="Arial" w:hAnsi="Arial" w:cs="Arial"/>
          <w:sz w:val="24"/>
          <w:szCs w:val="24"/>
        </w:rPr>
        <w:t>well stocked with choice fruit trees, forcing pits, greenhouse, tool house &amp;c &amp;c”</w:t>
      </w:r>
      <w:r w:rsidR="00B305E8">
        <w:rPr>
          <w:rStyle w:val="FootnoteReference"/>
          <w:rFonts w:ascii="Arial" w:hAnsi="Arial" w:cs="Arial"/>
          <w:sz w:val="24"/>
          <w:szCs w:val="24"/>
        </w:rPr>
        <w:footnoteReference w:id="26"/>
      </w:r>
      <w:r w:rsidR="00B305E8">
        <w:rPr>
          <w:rFonts w:ascii="Arial" w:hAnsi="Arial" w:cs="Arial"/>
          <w:sz w:val="24"/>
          <w:szCs w:val="24"/>
        </w:rPr>
        <w:t>.</w:t>
      </w:r>
    </w:p>
    <w:p w14:paraId="2122C494" w14:textId="45DCC1A1" w:rsidR="00030302" w:rsidRDefault="00B111C2">
      <w:pPr>
        <w:rPr>
          <w:rFonts w:ascii="Arial" w:hAnsi="Arial" w:cs="Arial"/>
          <w:sz w:val="24"/>
          <w:szCs w:val="24"/>
        </w:rPr>
      </w:pPr>
      <w:r>
        <w:rPr>
          <w:rFonts w:ascii="Arial" w:hAnsi="Arial" w:cs="Arial"/>
          <w:sz w:val="24"/>
          <w:szCs w:val="24"/>
        </w:rPr>
        <w:t xml:space="preserve">After the house burned down in 1906, the kitchen garden was </w:t>
      </w:r>
      <w:r w:rsidR="009E19D0">
        <w:rPr>
          <w:rFonts w:ascii="Arial" w:hAnsi="Arial" w:cs="Arial"/>
          <w:sz w:val="24"/>
          <w:szCs w:val="24"/>
        </w:rPr>
        <w:t>probably abandoned</w:t>
      </w:r>
      <w:r>
        <w:rPr>
          <w:rFonts w:ascii="Arial" w:hAnsi="Arial" w:cs="Arial"/>
          <w:sz w:val="24"/>
          <w:szCs w:val="24"/>
        </w:rPr>
        <w:t xml:space="preserve"> and when E Lee Godfrey acquired the </w:t>
      </w:r>
      <w:r w:rsidR="006567AF">
        <w:rPr>
          <w:rFonts w:ascii="Arial" w:hAnsi="Arial" w:cs="Arial"/>
          <w:sz w:val="24"/>
          <w:szCs w:val="24"/>
        </w:rPr>
        <w:t>Rod</w:t>
      </w:r>
      <w:r w:rsidR="006C472B">
        <w:rPr>
          <w:rFonts w:ascii="Arial" w:hAnsi="Arial" w:cs="Arial"/>
          <w:sz w:val="24"/>
          <w:szCs w:val="24"/>
        </w:rPr>
        <w:t>borough</w:t>
      </w:r>
      <w:r w:rsidR="006567AF">
        <w:rPr>
          <w:rFonts w:ascii="Arial" w:hAnsi="Arial" w:cs="Arial"/>
          <w:sz w:val="24"/>
          <w:szCs w:val="24"/>
        </w:rPr>
        <w:t xml:space="preserve"> Manor </w:t>
      </w:r>
      <w:r>
        <w:rPr>
          <w:rFonts w:ascii="Arial" w:hAnsi="Arial" w:cs="Arial"/>
          <w:sz w:val="24"/>
          <w:szCs w:val="24"/>
        </w:rPr>
        <w:t>estate</w:t>
      </w:r>
      <w:r w:rsidR="000B2C4C">
        <w:rPr>
          <w:rFonts w:ascii="Arial" w:hAnsi="Arial" w:cs="Arial"/>
          <w:sz w:val="24"/>
          <w:szCs w:val="24"/>
        </w:rPr>
        <w:t xml:space="preserve"> in 192</w:t>
      </w:r>
      <w:r w:rsidR="009E19D0">
        <w:rPr>
          <w:rFonts w:ascii="Arial" w:hAnsi="Arial" w:cs="Arial"/>
          <w:sz w:val="24"/>
          <w:szCs w:val="24"/>
        </w:rPr>
        <w:t>2</w:t>
      </w:r>
      <w:r>
        <w:rPr>
          <w:rFonts w:ascii="Arial" w:hAnsi="Arial" w:cs="Arial"/>
          <w:sz w:val="24"/>
          <w:szCs w:val="24"/>
        </w:rPr>
        <w:t xml:space="preserve"> </w:t>
      </w:r>
      <w:r w:rsidR="004B308D">
        <w:rPr>
          <w:rFonts w:ascii="Arial" w:hAnsi="Arial" w:cs="Arial"/>
          <w:sz w:val="24"/>
          <w:szCs w:val="24"/>
        </w:rPr>
        <w:t xml:space="preserve">he built </w:t>
      </w:r>
      <w:r>
        <w:rPr>
          <w:rFonts w:ascii="Arial" w:hAnsi="Arial" w:cs="Arial"/>
          <w:sz w:val="24"/>
          <w:szCs w:val="24"/>
        </w:rPr>
        <w:t xml:space="preserve">a factory </w:t>
      </w:r>
      <w:r w:rsidR="004B308D">
        <w:rPr>
          <w:rFonts w:ascii="Arial" w:hAnsi="Arial" w:cs="Arial"/>
          <w:sz w:val="24"/>
          <w:szCs w:val="24"/>
        </w:rPr>
        <w:t>within the walls f</w:t>
      </w:r>
      <w:r>
        <w:rPr>
          <w:rFonts w:ascii="Arial" w:hAnsi="Arial" w:cs="Arial"/>
          <w:sz w:val="24"/>
          <w:szCs w:val="24"/>
        </w:rPr>
        <w:t>or making egg incubators</w:t>
      </w:r>
      <w:r>
        <w:rPr>
          <w:rStyle w:val="FootnoteReference"/>
          <w:rFonts w:ascii="Arial" w:hAnsi="Arial" w:cs="Arial"/>
          <w:sz w:val="24"/>
          <w:szCs w:val="24"/>
        </w:rPr>
        <w:footnoteReference w:id="27"/>
      </w:r>
      <w:r>
        <w:rPr>
          <w:rFonts w:ascii="Arial" w:hAnsi="Arial" w:cs="Arial"/>
          <w:sz w:val="24"/>
          <w:szCs w:val="24"/>
        </w:rPr>
        <w:t>.</w:t>
      </w:r>
      <w:r w:rsidR="000B2C4C">
        <w:rPr>
          <w:rFonts w:ascii="Arial" w:hAnsi="Arial" w:cs="Arial"/>
          <w:sz w:val="24"/>
          <w:szCs w:val="24"/>
        </w:rPr>
        <w:t xml:space="preserve"> </w:t>
      </w:r>
      <w:r w:rsidR="004B308D">
        <w:rPr>
          <w:rFonts w:ascii="Arial" w:hAnsi="Arial" w:cs="Arial"/>
          <w:sz w:val="24"/>
          <w:szCs w:val="24"/>
        </w:rPr>
        <w:t>A</w:t>
      </w:r>
      <w:r>
        <w:rPr>
          <w:rFonts w:ascii="Arial" w:hAnsi="Arial" w:cs="Arial"/>
          <w:sz w:val="24"/>
          <w:szCs w:val="24"/>
        </w:rPr>
        <w:t>fter his death in 1935</w:t>
      </w:r>
      <w:r w:rsidR="004B308D">
        <w:rPr>
          <w:rFonts w:ascii="Arial" w:hAnsi="Arial" w:cs="Arial"/>
          <w:sz w:val="24"/>
          <w:szCs w:val="24"/>
        </w:rPr>
        <w:t>, the facility was</w:t>
      </w:r>
      <w:r>
        <w:rPr>
          <w:rFonts w:ascii="Arial" w:hAnsi="Arial" w:cs="Arial"/>
          <w:sz w:val="24"/>
          <w:szCs w:val="24"/>
        </w:rPr>
        <w:t xml:space="preserve"> used </w:t>
      </w:r>
      <w:r w:rsidR="006567AF">
        <w:rPr>
          <w:rFonts w:ascii="Arial" w:hAnsi="Arial" w:cs="Arial"/>
          <w:sz w:val="24"/>
          <w:szCs w:val="24"/>
        </w:rPr>
        <w:t>by</w:t>
      </w:r>
      <w:r w:rsidR="000B2C4C">
        <w:rPr>
          <w:rFonts w:ascii="Arial" w:hAnsi="Arial" w:cs="Arial"/>
          <w:sz w:val="24"/>
          <w:szCs w:val="24"/>
        </w:rPr>
        <w:t xml:space="preserve"> a series </w:t>
      </w:r>
      <w:r w:rsidR="00EB2DE4">
        <w:rPr>
          <w:rFonts w:ascii="Arial" w:hAnsi="Arial" w:cs="Arial"/>
          <w:sz w:val="24"/>
          <w:szCs w:val="24"/>
        </w:rPr>
        <w:t>of other industrial</w:t>
      </w:r>
      <w:r w:rsidR="000B2C4C">
        <w:rPr>
          <w:rFonts w:ascii="Arial" w:hAnsi="Arial" w:cs="Arial"/>
          <w:sz w:val="24"/>
          <w:szCs w:val="24"/>
        </w:rPr>
        <w:t xml:space="preserve"> companies</w:t>
      </w:r>
      <w:r>
        <w:rPr>
          <w:rFonts w:ascii="Arial" w:hAnsi="Arial" w:cs="Arial"/>
          <w:sz w:val="24"/>
          <w:szCs w:val="24"/>
        </w:rPr>
        <w:t xml:space="preserve">. Finally in 1995, the </w:t>
      </w:r>
      <w:r w:rsidR="00055411">
        <w:rPr>
          <w:rFonts w:ascii="Arial" w:hAnsi="Arial" w:cs="Arial"/>
          <w:sz w:val="24"/>
          <w:szCs w:val="24"/>
        </w:rPr>
        <w:t xml:space="preserve">high brick </w:t>
      </w:r>
      <w:r>
        <w:rPr>
          <w:rFonts w:ascii="Arial" w:hAnsi="Arial" w:cs="Arial"/>
          <w:sz w:val="24"/>
          <w:szCs w:val="24"/>
        </w:rPr>
        <w:t>walls were reduced in height and</w:t>
      </w:r>
      <w:r w:rsidR="00272978">
        <w:rPr>
          <w:rFonts w:ascii="Arial" w:hAnsi="Arial" w:cs="Arial"/>
          <w:sz w:val="24"/>
          <w:szCs w:val="24"/>
        </w:rPr>
        <w:t xml:space="preserve"> 11</w:t>
      </w:r>
      <w:r>
        <w:rPr>
          <w:rFonts w:ascii="Arial" w:hAnsi="Arial" w:cs="Arial"/>
          <w:sz w:val="24"/>
          <w:szCs w:val="24"/>
        </w:rPr>
        <w:t xml:space="preserve"> houses built within them</w:t>
      </w:r>
      <w:r w:rsidR="00055411">
        <w:rPr>
          <w:rFonts w:ascii="Arial" w:hAnsi="Arial" w:cs="Arial"/>
          <w:sz w:val="24"/>
          <w:szCs w:val="24"/>
        </w:rPr>
        <w:t xml:space="preserve"> (Manor Gardens).</w:t>
      </w:r>
    </w:p>
    <w:p w14:paraId="2EE23326" w14:textId="24E63E25" w:rsidR="00C85EA4" w:rsidRDefault="007B7181">
      <w:pPr>
        <w:rPr>
          <w:rFonts w:ascii="Arial" w:hAnsi="Arial" w:cs="Arial"/>
          <w:sz w:val="24"/>
          <w:szCs w:val="24"/>
        </w:rPr>
      </w:pPr>
      <w:r>
        <w:rPr>
          <w:rFonts w:ascii="Arial" w:hAnsi="Arial" w:cs="Arial"/>
          <w:noProof/>
          <w:sz w:val="24"/>
          <w:szCs w:val="24"/>
        </w:rPr>
        <w:drawing>
          <wp:inline distT="0" distB="0" distL="0" distR="0" wp14:anchorId="2FEAD434" wp14:editId="1EF6D35E">
            <wp:extent cx="4743450" cy="3677694"/>
            <wp:effectExtent l="0" t="0" r="0" b="0"/>
            <wp:docPr id="7" name="Picture 7" descr="A picture containing tree,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g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5785" cy="3679504"/>
                    </a:xfrm>
                    <a:prstGeom prst="rect">
                      <a:avLst/>
                    </a:prstGeom>
                  </pic:spPr>
                </pic:pic>
              </a:graphicData>
            </a:graphic>
          </wp:inline>
        </w:drawing>
      </w:r>
    </w:p>
    <w:p w14:paraId="691C842F" w14:textId="04F9A7D9" w:rsidR="007B7181" w:rsidRPr="007B7181" w:rsidRDefault="007B7181">
      <w:pPr>
        <w:rPr>
          <w:rFonts w:ascii="Arial" w:hAnsi="Arial" w:cs="Arial"/>
          <w:i/>
          <w:iCs/>
          <w:sz w:val="24"/>
          <w:szCs w:val="24"/>
        </w:rPr>
      </w:pPr>
      <w:r w:rsidRPr="007B7181">
        <w:rPr>
          <w:rFonts w:ascii="Arial" w:hAnsi="Arial" w:cs="Arial"/>
          <w:i/>
          <w:iCs/>
          <w:sz w:val="24"/>
          <w:szCs w:val="24"/>
        </w:rPr>
        <w:lastRenderedPageBreak/>
        <w:t>Fig 11: Rodborough Manor as rebuilt c1923</w:t>
      </w:r>
      <w:r w:rsidR="006C1117">
        <w:rPr>
          <w:rFonts w:ascii="Arial" w:hAnsi="Arial" w:cs="Arial"/>
          <w:i/>
          <w:iCs/>
          <w:sz w:val="24"/>
          <w:szCs w:val="24"/>
        </w:rPr>
        <w:t xml:space="preserve"> (The author)</w:t>
      </w:r>
    </w:p>
    <w:p w14:paraId="241F05F7" w14:textId="0607F77D" w:rsidR="00B305E8" w:rsidRPr="005C137B" w:rsidRDefault="005730CF">
      <w:pPr>
        <w:rPr>
          <w:rFonts w:ascii="Arial" w:hAnsi="Arial" w:cs="Arial"/>
          <w:sz w:val="24"/>
          <w:szCs w:val="24"/>
          <w:u w:val="single"/>
        </w:rPr>
      </w:pPr>
      <w:r>
        <w:rPr>
          <w:rFonts w:ascii="Arial" w:hAnsi="Arial" w:cs="Arial"/>
          <w:sz w:val="24"/>
          <w:szCs w:val="24"/>
          <w:u w:val="single"/>
        </w:rPr>
        <w:t>Principal</w:t>
      </w:r>
      <w:r w:rsidR="00CE4AF2">
        <w:rPr>
          <w:rFonts w:ascii="Arial" w:hAnsi="Arial" w:cs="Arial"/>
          <w:sz w:val="24"/>
          <w:szCs w:val="24"/>
          <w:u w:val="single"/>
        </w:rPr>
        <w:t xml:space="preserve"> Owners</w:t>
      </w:r>
    </w:p>
    <w:p w14:paraId="041325C5" w14:textId="7257F59F" w:rsidR="007705E7" w:rsidRDefault="005C137B">
      <w:pPr>
        <w:rPr>
          <w:rFonts w:ascii="Arial" w:hAnsi="Arial" w:cs="Arial"/>
          <w:sz w:val="24"/>
          <w:szCs w:val="24"/>
        </w:rPr>
      </w:pPr>
      <w:r>
        <w:rPr>
          <w:rFonts w:ascii="Arial" w:hAnsi="Arial" w:cs="Arial"/>
          <w:sz w:val="24"/>
          <w:szCs w:val="24"/>
        </w:rPr>
        <w:t xml:space="preserve">Sir Onesiphorus Paul </w:t>
      </w:r>
      <w:r w:rsidR="007705E7">
        <w:rPr>
          <w:rFonts w:ascii="Arial" w:hAnsi="Arial" w:cs="Arial"/>
          <w:sz w:val="24"/>
          <w:szCs w:val="24"/>
        </w:rPr>
        <w:t>(</w:t>
      </w:r>
      <w:r w:rsidR="000C0EB1">
        <w:rPr>
          <w:rFonts w:ascii="Arial" w:hAnsi="Arial" w:cs="Arial"/>
          <w:sz w:val="24"/>
          <w:szCs w:val="24"/>
        </w:rPr>
        <w:t>1706</w:t>
      </w:r>
      <w:r w:rsidR="00BB616B">
        <w:rPr>
          <w:rFonts w:ascii="Arial" w:hAnsi="Arial" w:cs="Arial"/>
          <w:sz w:val="24"/>
          <w:szCs w:val="24"/>
        </w:rPr>
        <w:t>-1774</w:t>
      </w:r>
      <w:r w:rsidR="007705E7">
        <w:rPr>
          <w:rFonts w:ascii="Arial" w:hAnsi="Arial" w:cs="Arial"/>
          <w:sz w:val="24"/>
          <w:szCs w:val="24"/>
        </w:rPr>
        <w:t xml:space="preserve">) </w:t>
      </w:r>
      <w:r>
        <w:rPr>
          <w:rFonts w:ascii="Arial" w:hAnsi="Arial" w:cs="Arial"/>
          <w:sz w:val="24"/>
          <w:szCs w:val="24"/>
        </w:rPr>
        <w:t xml:space="preserve">came from a local clothier family. He invented and implemented several improvements in the dying and finishing of cloth at his Woodchester Southfield Mill and became one of the leading local clothiers. In 1750 he entertained the Prince of Wales, ten years later as </w:t>
      </w:r>
      <w:r w:rsidR="007705E7">
        <w:rPr>
          <w:rFonts w:ascii="Arial" w:hAnsi="Arial" w:cs="Arial"/>
          <w:sz w:val="24"/>
          <w:szCs w:val="24"/>
        </w:rPr>
        <w:t xml:space="preserve">high sheriff of the county he presented a loyal address on the king’s accession, which brought him a knighthood and he was made a baronet in 1762. His social aspirations were lampooned: “Sir Onesiphorus Paul and his Lady are the finest couple that have ever been seen since Bath was built. They have bespoke two whole-length pictures, which some time or another </w:t>
      </w:r>
      <w:r w:rsidR="00F46415">
        <w:rPr>
          <w:rFonts w:ascii="Arial" w:hAnsi="Arial" w:cs="Arial"/>
          <w:sz w:val="24"/>
          <w:szCs w:val="24"/>
        </w:rPr>
        <w:t xml:space="preserve">will </w:t>
      </w:r>
      <w:r w:rsidR="007705E7">
        <w:rPr>
          <w:rFonts w:ascii="Arial" w:hAnsi="Arial" w:cs="Arial"/>
          <w:sz w:val="24"/>
          <w:szCs w:val="24"/>
        </w:rPr>
        <w:t>divert us.  His dress and manner are beyond my painting; however, they may come within Mr Gainsborough’s.”</w:t>
      </w:r>
      <w:r w:rsidR="007705E7">
        <w:rPr>
          <w:rStyle w:val="FootnoteReference"/>
          <w:rFonts w:ascii="Arial" w:hAnsi="Arial" w:cs="Arial"/>
          <w:sz w:val="24"/>
          <w:szCs w:val="24"/>
        </w:rPr>
        <w:footnoteReference w:id="28"/>
      </w:r>
    </w:p>
    <w:p w14:paraId="5A1B1B7A" w14:textId="21E6D2B4" w:rsidR="00094CCC" w:rsidRDefault="00BB616B">
      <w:pPr>
        <w:rPr>
          <w:rFonts w:ascii="Arial" w:hAnsi="Arial" w:cs="Arial"/>
          <w:sz w:val="24"/>
          <w:szCs w:val="24"/>
        </w:rPr>
      </w:pPr>
      <w:r>
        <w:rPr>
          <w:rFonts w:ascii="Arial" w:hAnsi="Arial" w:cs="Arial"/>
          <w:sz w:val="24"/>
          <w:szCs w:val="24"/>
        </w:rPr>
        <w:t>His son Sir George Onesiphorus Paul (</w:t>
      </w:r>
      <w:r w:rsidR="00094CCC">
        <w:rPr>
          <w:rFonts w:ascii="Arial" w:hAnsi="Arial" w:cs="Arial"/>
          <w:sz w:val="24"/>
          <w:szCs w:val="24"/>
        </w:rPr>
        <w:t>1746-1820</w:t>
      </w:r>
      <w:r>
        <w:rPr>
          <w:rFonts w:ascii="Arial" w:hAnsi="Arial" w:cs="Arial"/>
          <w:sz w:val="24"/>
          <w:szCs w:val="24"/>
        </w:rPr>
        <w:t xml:space="preserve">) went to St John’s College, Oxford, and on to the Grand Tour. On inheriting, he leased Southfield Mill to his cousin Obadiah Paul and settled down to a comfortable bachelor life (he never married) as landed proprietor. He kept a good cellar and built up a picture collection. Like his father, he spent time as high sheriff but is most remembered for his </w:t>
      </w:r>
      <w:r w:rsidR="00094CCC">
        <w:rPr>
          <w:rFonts w:ascii="Arial" w:hAnsi="Arial" w:cs="Arial"/>
          <w:sz w:val="24"/>
          <w:szCs w:val="24"/>
        </w:rPr>
        <w:t>work on reform of criminal justice, prisons and the care of lunatics</w:t>
      </w:r>
      <w:r w:rsidR="00094CCC">
        <w:rPr>
          <w:rStyle w:val="FootnoteReference"/>
          <w:rFonts w:ascii="Arial" w:hAnsi="Arial" w:cs="Arial"/>
          <w:sz w:val="24"/>
          <w:szCs w:val="24"/>
        </w:rPr>
        <w:footnoteReference w:id="29"/>
      </w:r>
      <w:r w:rsidR="00094CCC">
        <w:rPr>
          <w:rFonts w:ascii="Arial" w:hAnsi="Arial" w:cs="Arial"/>
          <w:sz w:val="24"/>
          <w:szCs w:val="24"/>
        </w:rPr>
        <w:t>. He also courted royalty and entertained George III at Hill House in 1788 when the latter visited Southfield Mill</w:t>
      </w:r>
      <w:r w:rsidR="00094CCC">
        <w:rPr>
          <w:rStyle w:val="FootnoteReference"/>
          <w:rFonts w:ascii="Arial" w:hAnsi="Arial" w:cs="Arial"/>
          <w:sz w:val="24"/>
          <w:szCs w:val="24"/>
        </w:rPr>
        <w:footnoteReference w:id="30"/>
      </w:r>
      <w:r w:rsidR="00094CCC">
        <w:rPr>
          <w:rFonts w:ascii="Arial" w:hAnsi="Arial" w:cs="Arial"/>
          <w:sz w:val="24"/>
          <w:szCs w:val="24"/>
        </w:rPr>
        <w:t xml:space="preserve">. </w:t>
      </w:r>
      <w:r w:rsidR="005B01F8">
        <w:rPr>
          <w:rFonts w:ascii="Arial" w:hAnsi="Arial" w:cs="Arial"/>
          <w:sz w:val="24"/>
          <w:szCs w:val="24"/>
        </w:rPr>
        <w:t>His prison reform work attracted the attention of Sir Walter Scott, whom he accompanied on a journey to the Hebrides in 1810</w:t>
      </w:r>
      <w:r w:rsidR="005B01F8">
        <w:rPr>
          <w:rStyle w:val="FootnoteReference"/>
          <w:rFonts w:ascii="Arial" w:hAnsi="Arial" w:cs="Arial"/>
          <w:sz w:val="24"/>
          <w:szCs w:val="24"/>
        </w:rPr>
        <w:footnoteReference w:id="31"/>
      </w:r>
      <w:r w:rsidR="004F05E5">
        <w:rPr>
          <w:rFonts w:ascii="Arial" w:hAnsi="Arial" w:cs="Arial"/>
          <w:sz w:val="24"/>
          <w:szCs w:val="24"/>
        </w:rPr>
        <w:t>.</w:t>
      </w:r>
      <w:r w:rsidR="000E5FE1">
        <w:rPr>
          <w:rFonts w:ascii="Arial" w:hAnsi="Arial" w:cs="Arial"/>
          <w:sz w:val="24"/>
          <w:szCs w:val="24"/>
        </w:rPr>
        <w:t xml:space="preserve">  The estate remained in the Paul family until 1854.</w:t>
      </w:r>
    </w:p>
    <w:p w14:paraId="1B9EEA36" w14:textId="15E16C93" w:rsidR="00CE4AF2" w:rsidRDefault="00CE4AF2">
      <w:pPr>
        <w:rPr>
          <w:rFonts w:ascii="Arial" w:hAnsi="Arial" w:cs="Arial"/>
          <w:sz w:val="24"/>
          <w:szCs w:val="24"/>
        </w:rPr>
      </w:pPr>
      <w:r>
        <w:rPr>
          <w:rFonts w:ascii="Arial" w:hAnsi="Arial" w:cs="Arial"/>
          <w:sz w:val="24"/>
          <w:szCs w:val="24"/>
        </w:rPr>
        <w:t xml:space="preserve">Lord John Russell </w:t>
      </w:r>
      <w:r w:rsidR="00F9120D">
        <w:rPr>
          <w:rFonts w:ascii="Arial" w:hAnsi="Arial" w:cs="Arial"/>
          <w:sz w:val="24"/>
          <w:szCs w:val="24"/>
        </w:rPr>
        <w:t>(1792-1878)</w:t>
      </w:r>
      <w:r>
        <w:rPr>
          <w:rFonts w:ascii="Arial" w:hAnsi="Arial" w:cs="Arial"/>
          <w:sz w:val="24"/>
          <w:szCs w:val="24"/>
        </w:rPr>
        <w:t xml:space="preserve"> bought the </w:t>
      </w:r>
      <w:r w:rsidR="0050750A">
        <w:rPr>
          <w:rFonts w:ascii="Arial" w:hAnsi="Arial" w:cs="Arial"/>
          <w:sz w:val="24"/>
          <w:szCs w:val="24"/>
        </w:rPr>
        <w:t>estate</w:t>
      </w:r>
      <w:r>
        <w:rPr>
          <w:rFonts w:ascii="Arial" w:hAnsi="Arial" w:cs="Arial"/>
          <w:sz w:val="24"/>
          <w:szCs w:val="24"/>
        </w:rPr>
        <w:t xml:space="preserve"> in 1855 from Thomas Marling who had bought it from the Paul family the year before. </w:t>
      </w:r>
      <w:r w:rsidR="00F9120D">
        <w:rPr>
          <w:rFonts w:ascii="Arial" w:hAnsi="Arial" w:cs="Arial"/>
          <w:sz w:val="24"/>
          <w:szCs w:val="24"/>
        </w:rPr>
        <w:t xml:space="preserve">Russell </w:t>
      </w:r>
      <w:r w:rsidR="005730CF">
        <w:rPr>
          <w:rFonts w:ascii="Arial" w:hAnsi="Arial" w:cs="Arial"/>
          <w:sz w:val="24"/>
          <w:szCs w:val="24"/>
        </w:rPr>
        <w:t>was a former MP for Stroud (1834-41)</w:t>
      </w:r>
      <w:r>
        <w:rPr>
          <w:rFonts w:ascii="Arial" w:hAnsi="Arial" w:cs="Arial"/>
          <w:sz w:val="24"/>
          <w:szCs w:val="24"/>
        </w:rPr>
        <w:t xml:space="preserve"> </w:t>
      </w:r>
      <w:r w:rsidR="005730CF">
        <w:rPr>
          <w:rFonts w:ascii="Arial" w:hAnsi="Arial" w:cs="Arial"/>
          <w:sz w:val="24"/>
          <w:szCs w:val="24"/>
        </w:rPr>
        <w:t xml:space="preserve">had a long political political career, noteworthy for the number of resignations from high office on matters of principle. As home secretary in 1837 he reduced the number of offences subject to capital punishment and he was later colonial and foreign secretary and finally </w:t>
      </w:r>
      <w:r w:rsidR="00F46415">
        <w:rPr>
          <w:rFonts w:ascii="Arial" w:hAnsi="Arial" w:cs="Arial"/>
          <w:sz w:val="24"/>
          <w:szCs w:val="24"/>
        </w:rPr>
        <w:t>(1</w:t>
      </w:r>
      <w:r w:rsidR="005730CF">
        <w:rPr>
          <w:rFonts w:ascii="Arial" w:hAnsi="Arial" w:cs="Arial"/>
          <w:sz w:val="24"/>
          <w:szCs w:val="24"/>
        </w:rPr>
        <w:t>865</w:t>
      </w:r>
      <w:r w:rsidR="00F46415">
        <w:rPr>
          <w:rFonts w:ascii="Arial" w:hAnsi="Arial" w:cs="Arial"/>
          <w:sz w:val="24"/>
          <w:szCs w:val="24"/>
        </w:rPr>
        <w:t>-</w:t>
      </w:r>
      <w:r w:rsidR="005730CF">
        <w:rPr>
          <w:rFonts w:ascii="Arial" w:hAnsi="Arial" w:cs="Arial"/>
          <w:sz w:val="24"/>
          <w:szCs w:val="24"/>
        </w:rPr>
        <w:t>66</w:t>
      </w:r>
      <w:r w:rsidR="00F46415">
        <w:rPr>
          <w:rFonts w:ascii="Arial" w:hAnsi="Arial" w:cs="Arial"/>
          <w:sz w:val="24"/>
          <w:szCs w:val="24"/>
        </w:rPr>
        <w:t>)</w:t>
      </w:r>
      <w:r w:rsidR="005730CF">
        <w:rPr>
          <w:rFonts w:ascii="Arial" w:hAnsi="Arial" w:cs="Arial"/>
          <w:sz w:val="24"/>
          <w:szCs w:val="24"/>
        </w:rPr>
        <w:t xml:space="preserve"> prime minister. He however </w:t>
      </w:r>
      <w:r w:rsidR="00F14B8E">
        <w:rPr>
          <w:rFonts w:ascii="Arial" w:hAnsi="Arial" w:cs="Arial"/>
          <w:sz w:val="24"/>
          <w:szCs w:val="24"/>
        </w:rPr>
        <w:t>did not live</w:t>
      </w:r>
      <w:r w:rsidR="005730CF">
        <w:rPr>
          <w:rFonts w:ascii="Arial" w:hAnsi="Arial" w:cs="Arial"/>
          <w:sz w:val="24"/>
          <w:szCs w:val="24"/>
        </w:rPr>
        <w:t xml:space="preserve"> in Rodborough Manor </w:t>
      </w:r>
      <w:r w:rsidR="00F14B8E">
        <w:rPr>
          <w:rFonts w:ascii="Arial" w:hAnsi="Arial" w:cs="Arial"/>
          <w:sz w:val="24"/>
          <w:szCs w:val="24"/>
        </w:rPr>
        <w:t>himself after 1856 (the house being first let out and then occupied by his son</w:t>
      </w:r>
      <w:r w:rsidR="00F46415">
        <w:rPr>
          <w:rFonts w:ascii="Arial" w:hAnsi="Arial" w:cs="Arial"/>
          <w:sz w:val="24"/>
          <w:szCs w:val="24"/>
        </w:rPr>
        <w:t>)</w:t>
      </w:r>
      <w:r w:rsidR="00D020E5">
        <w:rPr>
          <w:rStyle w:val="FootnoteReference"/>
          <w:rFonts w:ascii="Arial" w:hAnsi="Arial" w:cs="Arial"/>
          <w:sz w:val="24"/>
          <w:szCs w:val="24"/>
        </w:rPr>
        <w:footnoteReference w:id="32"/>
      </w:r>
      <w:r w:rsidR="005730CF">
        <w:rPr>
          <w:rFonts w:ascii="Arial" w:hAnsi="Arial" w:cs="Arial"/>
          <w:sz w:val="24"/>
          <w:szCs w:val="24"/>
        </w:rPr>
        <w:t>.</w:t>
      </w:r>
    </w:p>
    <w:p w14:paraId="762D3090" w14:textId="6A92DD84" w:rsidR="00CE4AF2" w:rsidRDefault="00CE4AF2">
      <w:pPr>
        <w:rPr>
          <w:rFonts w:ascii="Arial" w:hAnsi="Arial" w:cs="Arial"/>
          <w:sz w:val="24"/>
          <w:szCs w:val="24"/>
        </w:rPr>
      </w:pPr>
      <w:r>
        <w:rPr>
          <w:rFonts w:ascii="Arial" w:hAnsi="Arial" w:cs="Arial"/>
          <w:sz w:val="24"/>
          <w:szCs w:val="24"/>
        </w:rPr>
        <w:t xml:space="preserve">The Paul family </w:t>
      </w:r>
      <w:r w:rsidR="0050750A">
        <w:rPr>
          <w:rFonts w:ascii="Arial" w:hAnsi="Arial" w:cs="Arial"/>
          <w:sz w:val="24"/>
          <w:szCs w:val="24"/>
        </w:rPr>
        <w:t xml:space="preserve">reacquired the estate in 1871 but </w:t>
      </w:r>
      <w:r w:rsidR="00F46415">
        <w:rPr>
          <w:rFonts w:ascii="Arial" w:hAnsi="Arial" w:cs="Arial"/>
          <w:sz w:val="24"/>
          <w:szCs w:val="24"/>
        </w:rPr>
        <w:t xml:space="preserve">sold </w:t>
      </w:r>
      <w:r w:rsidR="0050750A">
        <w:rPr>
          <w:rFonts w:ascii="Arial" w:hAnsi="Arial" w:cs="Arial"/>
          <w:sz w:val="24"/>
          <w:szCs w:val="24"/>
        </w:rPr>
        <w:t xml:space="preserve">it </w:t>
      </w:r>
      <w:r w:rsidR="00F46415">
        <w:rPr>
          <w:rFonts w:ascii="Arial" w:hAnsi="Arial" w:cs="Arial"/>
          <w:sz w:val="24"/>
          <w:szCs w:val="24"/>
        </w:rPr>
        <w:t xml:space="preserve">in 1889 </w:t>
      </w:r>
      <w:r w:rsidR="0050750A">
        <w:rPr>
          <w:rFonts w:ascii="Arial" w:hAnsi="Arial" w:cs="Arial"/>
          <w:sz w:val="24"/>
          <w:szCs w:val="24"/>
        </w:rPr>
        <w:t xml:space="preserve">to clothier Sir William Marling of Kings Stanley, whose son Samuel Stanley Marling was living in the house when it burned down in 1906. The latter sold the estate to a Charles Apperley in 1917 but he got into financial difficulty and his bank repossessed it before selling to E Lee </w:t>
      </w:r>
      <w:r w:rsidR="0050750A">
        <w:rPr>
          <w:rFonts w:ascii="Arial" w:hAnsi="Arial" w:cs="Arial"/>
          <w:sz w:val="24"/>
          <w:szCs w:val="24"/>
        </w:rPr>
        <w:lastRenderedPageBreak/>
        <w:t>Godfrey</w:t>
      </w:r>
      <w:r w:rsidR="005730CF">
        <w:rPr>
          <w:rFonts w:ascii="Arial" w:hAnsi="Arial" w:cs="Arial"/>
          <w:sz w:val="24"/>
          <w:szCs w:val="24"/>
        </w:rPr>
        <w:t xml:space="preserve"> in 1922</w:t>
      </w:r>
      <w:r w:rsidR="00F9120D">
        <w:rPr>
          <w:rStyle w:val="FootnoteReference"/>
          <w:rFonts w:ascii="Arial" w:hAnsi="Arial" w:cs="Arial"/>
          <w:sz w:val="24"/>
          <w:szCs w:val="24"/>
        </w:rPr>
        <w:footnoteReference w:id="33"/>
      </w:r>
      <w:r w:rsidR="0050750A">
        <w:rPr>
          <w:rFonts w:ascii="Arial" w:hAnsi="Arial" w:cs="Arial"/>
          <w:sz w:val="24"/>
          <w:szCs w:val="24"/>
        </w:rPr>
        <w:t>. He died in 193</w:t>
      </w:r>
      <w:r w:rsidR="00775D6F">
        <w:rPr>
          <w:rFonts w:ascii="Arial" w:hAnsi="Arial" w:cs="Arial"/>
          <w:sz w:val="24"/>
          <w:szCs w:val="24"/>
        </w:rPr>
        <w:t>5</w:t>
      </w:r>
      <w:r w:rsidR="0016329A">
        <w:rPr>
          <w:rFonts w:ascii="Arial" w:hAnsi="Arial" w:cs="Arial"/>
          <w:sz w:val="24"/>
          <w:szCs w:val="24"/>
        </w:rPr>
        <w:t>, having rebuilt the house on a smaller scale,</w:t>
      </w:r>
      <w:r w:rsidR="0050750A">
        <w:rPr>
          <w:rFonts w:ascii="Arial" w:hAnsi="Arial" w:cs="Arial"/>
          <w:sz w:val="24"/>
          <w:szCs w:val="24"/>
        </w:rPr>
        <w:t xml:space="preserve"> and </w:t>
      </w:r>
      <w:r w:rsidR="0016329A">
        <w:rPr>
          <w:rFonts w:ascii="Arial" w:hAnsi="Arial" w:cs="Arial"/>
          <w:sz w:val="24"/>
          <w:szCs w:val="24"/>
        </w:rPr>
        <w:t>in 1937</w:t>
      </w:r>
      <w:r w:rsidR="00775D6F">
        <w:rPr>
          <w:rFonts w:ascii="Arial" w:hAnsi="Arial" w:cs="Arial"/>
          <w:sz w:val="24"/>
          <w:szCs w:val="24"/>
        </w:rPr>
        <w:t xml:space="preserve"> </w:t>
      </w:r>
      <w:r w:rsidR="00CB261D">
        <w:rPr>
          <w:rFonts w:ascii="Arial" w:hAnsi="Arial" w:cs="Arial"/>
          <w:sz w:val="24"/>
          <w:szCs w:val="24"/>
        </w:rPr>
        <w:t>his widow Blanche</w:t>
      </w:r>
      <w:r w:rsidR="00775D6F">
        <w:rPr>
          <w:rFonts w:ascii="Arial" w:hAnsi="Arial" w:cs="Arial"/>
          <w:sz w:val="24"/>
          <w:szCs w:val="24"/>
        </w:rPr>
        <w:t xml:space="preserve"> </w:t>
      </w:r>
      <w:r w:rsidR="0050750A">
        <w:rPr>
          <w:rFonts w:ascii="Arial" w:hAnsi="Arial" w:cs="Arial"/>
          <w:sz w:val="24"/>
          <w:szCs w:val="24"/>
        </w:rPr>
        <w:t>gave the Rodborough Common land beyond the northern curtilage of the park to the National Trus</w:t>
      </w:r>
      <w:r w:rsidR="005D3497">
        <w:rPr>
          <w:rFonts w:ascii="Arial" w:hAnsi="Arial" w:cs="Arial"/>
          <w:sz w:val="24"/>
          <w:szCs w:val="24"/>
        </w:rPr>
        <w:t>t</w:t>
      </w:r>
      <w:r w:rsidR="005D3497">
        <w:rPr>
          <w:rStyle w:val="FootnoteReference"/>
          <w:rFonts w:ascii="Arial" w:hAnsi="Arial" w:cs="Arial"/>
          <w:sz w:val="24"/>
          <w:szCs w:val="24"/>
        </w:rPr>
        <w:footnoteReference w:id="34"/>
      </w:r>
      <w:r w:rsidR="0050750A">
        <w:rPr>
          <w:rFonts w:ascii="Arial" w:hAnsi="Arial" w:cs="Arial"/>
          <w:sz w:val="24"/>
          <w:szCs w:val="24"/>
        </w:rPr>
        <w:t>,</w:t>
      </w:r>
      <w:r w:rsidR="0016329A">
        <w:rPr>
          <w:rFonts w:ascii="Arial" w:hAnsi="Arial" w:cs="Arial"/>
          <w:sz w:val="24"/>
          <w:szCs w:val="24"/>
        </w:rPr>
        <w:t>/  After the war she</w:t>
      </w:r>
      <w:r w:rsidR="0050750A">
        <w:rPr>
          <w:rFonts w:ascii="Arial" w:hAnsi="Arial" w:cs="Arial"/>
          <w:sz w:val="24"/>
          <w:szCs w:val="24"/>
        </w:rPr>
        <w:t xml:space="preserve"> </w:t>
      </w:r>
      <w:r w:rsidR="0016329A">
        <w:rPr>
          <w:rFonts w:ascii="Arial" w:hAnsi="Arial" w:cs="Arial"/>
          <w:sz w:val="24"/>
          <w:szCs w:val="24"/>
        </w:rPr>
        <w:t>sold part of the</w:t>
      </w:r>
      <w:r w:rsidR="0050750A">
        <w:rPr>
          <w:rFonts w:ascii="Arial" w:hAnsi="Arial" w:cs="Arial"/>
          <w:sz w:val="24"/>
          <w:szCs w:val="24"/>
        </w:rPr>
        <w:t xml:space="preserve"> </w:t>
      </w:r>
      <w:r w:rsidR="0016329A">
        <w:rPr>
          <w:rFonts w:ascii="Arial" w:hAnsi="Arial" w:cs="Arial"/>
          <w:sz w:val="24"/>
          <w:szCs w:val="24"/>
        </w:rPr>
        <w:t>site of the house</w:t>
      </w:r>
      <w:r w:rsidR="00775D6F">
        <w:rPr>
          <w:rFonts w:ascii="Arial" w:hAnsi="Arial" w:cs="Arial"/>
          <w:sz w:val="24"/>
          <w:szCs w:val="24"/>
        </w:rPr>
        <w:t xml:space="preserve"> </w:t>
      </w:r>
      <w:r w:rsidR="0016329A">
        <w:rPr>
          <w:rFonts w:ascii="Arial" w:hAnsi="Arial" w:cs="Arial"/>
          <w:sz w:val="24"/>
          <w:szCs w:val="24"/>
        </w:rPr>
        <w:t>to enable the building of a second</w:t>
      </w:r>
      <w:r w:rsidR="0050750A">
        <w:rPr>
          <w:rFonts w:ascii="Arial" w:hAnsi="Arial" w:cs="Arial"/>
          <w:sz w:val="24"/>
          <w:szCs w:val="24"/>
        </w:rPr>
        <w:t xml:space="preserve"> dwelling and sold off the stables for conversion to a residence</w:t>
      </w:r>
      <w:r w:rsidR="00262385">
        <w:rPr>
          <w:rFonts w:ascii="Arial" w:hAnsi="Arial" w:cs="Arial"/>
          <w:sz w:val="24"/>
          <w:szCs w:val="24"/>
        </w:rPr>
        <w:t xml:space="preserve"> (now a single dwelling but at one point divided into five flats)</w:t>
      </w:r>
      <w:r w:rsidR="0050750A">
        <w:rPr>
          <w:rFonts w:ascii="Arial" w:hAnsi="Arial" w:cs="Arial"/>
          <w:sz w:val="24"/>
          <w:szCs w:val="24"/>
        </w:rPr>
        <w:t xml:space="preserve"> which confusingly became known as the Manor House.</w:t>
      </w:r>
    </w:p>
    <w:p w14:paraId="5F9F1CAB" w14:textId="4122E5F3" w:rsidR="00F9120D" w:rsidRDefault="00F9120D">
      <w:pPr>
        <w:rPr>
          <w:rFonts w:ascii="Arial" w:hAnsi="Arial" w:cs="Arial"/>
          <w:sz w:val="24"/>
          <w:szCs w:val="24"/>
        </w:rPr>
      </w:pPr>
      <w:r>
        <w:rPr>
          <w:rFonts w:ascii="Arial" w:hAnsi="Arial" w:cs="Arial"/>
          <w:sz w:val="24"/>
          <w:szCs w:val="24"/>
        </w:rPr>
        <w:t>Thoss Shearer</w:t>
      </w:r>
    </w:p>
    <w:p w14:paraId="72DC84A0" w14:textId="3A7DB21F" w:rsidR="00F90FF0" w:rsidRDefault="00F90FF0">
      <w:pPr>
        <w:rPr>
          <w:rFonts w:ascii="Arial" w:hAnsi="Arial" w:cs="Arial"/>
          <w:sz w:val="24"/>
          <w:szCs w:val="24"/>
        </w:rPr>
      </w:pPr>
      <w:r>
        <w:rPr>
          <w:rFonts w:ascii="Arial" w:hAnsi="Arial" w:cs="Arial"/>
          <w:sz w:val="24"/>
          <w:szCs w:val="24"/>
        </w:rPr>
        <w:t>Gloucestershire Gardens &amp; Landscape Trust</w:t>
      </w:r>
    </w:p>
    <w:p w14:paraId="39C51410" w14:textId="21C79DF4" w:rsidR="00F9120D" w:rsidRDefault="00F9120D">
      <w:pPr>
        <w:rPr>
          <w:rFonts w:ascii="Arial" w:hAnsi="Arial" w:cs="Arial"/>
          <w:sz w:val="24"/>
          <w:szCs w:val="24"/>
        </w:rPr>
      </w:pPr>
      <w:r>
        <w:rPr>
          <w:rFonts w:ascii="Arial" w:hAnsi="Arial" w:cs="Arial"/>
          <w:sz w:val="24"/>
          <w:szCs w:val="24"/>
        </w:rPr>
        <w:t>July 2021</w:t>
      </w:r>
      <w:r w:rsidR="006C1117">
        <w:rPr>
          <w:rFonts w:ascii="Arial" w:hAnsi="Arial" w:cs="Arial"/>
          <w:sz w:val="24"/>
          <w:szCs w:val="24"/>
        </w:rPr>
        <w:t xml:space="preserve">, updated </w:t>
      </w:r>
      <w:r w:rsidR="0037364B">
        <w:rPr>
          <w:rFonts w:ascii="Arial" w:hAnsi="Arial" w:cs="Arial"/>
          <w:sz w:val="24"/>
          <w:szCs w:val="24"/>
        </w:rPr>
        <w:t>October</w:t>
      </w:r>
      <w:r w:rsidR="006C1117">
        <w:rPr>
          <w:rFonts w:ascii="Arial" w:hAnsi="Arial" w:cs="Arial"/>
          <w:sz w:val="24"/>
          <w:szCs w:val="24"/>
        </w:rPr>
        <w:t xml:space="preserve"> 2021</w:t>
      </w:r>
    </w:p>
    <w:p w14:paraId="44338406" w14:textId="12C18BDC" w:rsidR="004F05E5" w:rsidRDefault="00262385">
      <w:pPr>
        <w:rPr>
          <w:rFonts w:ascii="Arial" w:hAnsi="Arial" w:cs="Arial"/>
          <w:i/>
          <w:iCs/>
          <w:sz w:val="24"/>
          <w:szCs w:val="24"/>
        </w:rPr>
      </w:pPr>
      <w:r>
        <w:rPr>
          <w:rFonts w:ascii="Arial" w:hAnsi="Arial" w:cs="Arial"/>
          <w:i/>
          <w:iCs/>
          <w:sz w:val="24"/>
          <w:szCs w:val="24"/>
        </w:rPr>
        <w:t>The author is indebted to the following for information and/or access to the site: Howard Beard, Derek Bees, Jane Bradney,</w:t>
      </w:r>
      <w:r w:rsidR="008E79CF">
        <w:rPr>
          <w:rFonts w:ascii="Arial" w:hAnsi="Arial" w:cs="Arial"/>
          <w:i/>
          <w:iCs/>
          <w:sz w:val="24"/>
          <w:szCs w:val="24"/>
        </w:rPr>
        <w:t xml:space="preserve"> Fred</w:t>
      </w:r>
      <w:r>
        <w:rPr>
          <w:rFonts w:ascii="Arial" w:hAnsi="Arial" w:cs="Arial"/>
          <w:i/>
          <w:iCs/>
          <w:sz w:val="24"/>
          <w:szCs w:val="24"/>
        </w:rPr>
        <w:t xml:space="preserve"> Hiscox and Ian Roberts</w:t>
      </w:r>
    </w:p>
    <w:p w14:paraId="14BBED1E" w14:textId="08844E60" w:rsidR="002A4431" w:rsidRDefault="002A4431">
      <w:pPr>
        <w:rPr>
          <w:rFonts w:ascii="Arial" w:hAnsi="Arial" w:cs="Arial"/>
          <w:i/>
          <w:iCs/>
          <w:sz w:val="24"/>
          <w:szCs w:val="24"/>
        </w:rPr>
      </w:pPr>
    </w:p>
    <w:p w14:paraId="56BF6E5F" w14:textId="08FA26E1" w:rsidR="002A4431" w:rsidRDefault="002A4431">
      <w:pPr>
        <w:rPr>
          <w:rFonts w:ascii="Arial" w:hAnsi="Arial" w:cs="Arial"/>
          <w:i/>
          <w:iCs/>
          <w:sz w:val="24"/>
          <w:szCs w:val="24"/>
        </w:rPr>
      </w:pPr>
    </w:p>
    <w:p w14:paraId="7FB23C95" w14:textId="73CB1ED4" w:rsidR="002A4431" w:rsidRDefault="002A4431">
      <w:pPr>
        <w:rPr>
          <w:rFonts w:ascii="Arial" w:hAnsi="Arial" w:cs="Arial"/>
          <w:i/>
          <w:iCs/>
          <w:sz w:val="24"/>
          <w:szCs w:val="24"/>
        </w:rPr>
      </w:pPr>
    </w:p>
    <w:p w14:paraId="526AB136" w14:textId="621D4ABE" w:rsidR="002A4431" w:rsidRDefault="002A4431">
      <w:pPr>
        <w:rPr>
          <w:rFonts w:ascii="Arial" w:hAnsi="Arial" w:cs="Arial"/>
          <w:i/>
          <w:iCs/>
          <w:sz w:val="24"/>
          <w:szCs w:val="24"/>
        </w:rPr>
      </w:pPr>
    </w:p>
    <w:p w14:paraId="18C94AF8" w14:textId="7D4DCDCD" w:rsidR="002A4431" w:rsidRDefault="002A4431">
      <w:pPr>
        <w:rPr>
          <w:rFonts w:ascii="Arial" w:hAnsi="Arial" w:cs="Arial"/>
          <w:i/>
          <w:iCs/>
          <w:sz w:val="24"/>
          <w:szCs w:val="24"/>
        </w:rPr>
      </w:pPr>
    </w:p>
    <w:p w14:paraId="2CDD3D24" w14:textId="3E7F57BC" w:rsidR="002A4431" w:rsidRDefault="002A4431">
      <w:pPr>
        <w:rPr>
          <w:rFonts w:ascii="Arial" w:hAnsi="Arial" w:cs="Arial"/>
          <w:i/>
          <w:iCs/>
          <w:sz w:val="24"/>
          <w:szCs w:val="24"/>
        </w:rPr>
      </w:pPr>
    </w:p>
    <w:p w14:paraId="59302008" w14:textId="77777777" w:rsidR="00416DB1" w:rsidRDefault="00416DB1">
      <w:pPr>
        <w:rPr>
          <w:rFonts w:ascii="Arial" w:hAnsi="Arial" w:cs="Arial"/>
          <w:b/>
          <w:bCs/>
          <w:sz w:val="24"/>
          <w:szCs w:val="24"/>
        </w:rPr>
      </w:pPr>
    </w:p>
    <w:p w14:paraId="766BCAEA" w14:textId="77777777" w:rsidR="00416DB1" w:rsidRDefault="00416DB1">
      <w:pPr>
        <w:rPr>
          <w:rFonts w:ascii="Arial" w:hAnsi="Arial" w:cs="Arial"/>
          <w:b/>
          <w:bCs/>
          <w:sz w:val="24"/>
          <w:szCs w:val="24"/>
        </w:rPr>
      </w:pPr>
    </w:p>
    <w:p w14:paraId="60B288EF" w14:textId="77777777" w:rsidR="00416DB1" w:rsidRDefault="00416DB1">
      <w:pPr>
        <w:rPr>
          <w:rFonts w:ascii="Arial" w:hAnsi="Arial" w:cs="Arial"/>
          <w:b/>
          <w:bCs/>
          <w:sz w:val="24"/>
          <w:szCs w:val="24"/>
        </w:rPr>
      </w:pPr>
    </w:p>
    <w:p w14:paraId="6AFA8F04" w14:textId="77777777" w:rsidR="00416DB1" w:rsidRDefault="00416DB1">
      <w:pPr>
        <w:rPr>
          <w:rFonts w:ascii="Arial" w:hAnsi="Arial" w:cs="Arial"/>
          <w:b/>
          <w:bCs/>
          <w:sz w:val="24"/>
          <w:szCs w:val="24"/>
        </w:rPr>
      </w:pPr>
    </w:p>
    <w:p w14:paraId="1F95754B" w14:textId="77777777" w:rsidR="00416DB1" w:rsidRDefault="00416DB1">
      <w:pPr>
        <w:rPr>
          <w:rFonts w:ascii="Arial" w:hAnsi="Arial" w:cs="Arial"/>
          <w:b/>
          <w:bCs/>
          <w:sz w:val="24"/>
          <w:szCs w:val="24"/>
        </w:rPr>
      </w:pPr>
    </w:p>
    <w:p w14:paraId="736A8761" w14:textId="77777777" w:rsidR="00416DB1" w:rsidRDefault="00416DB1">
      <w:pPr>
        <w:rPr>
          <w:rFonts w:ascii="Arial" w:hAnsi="Arial" w:cs="Arial"/>
          <w:b/>
          <w:bCs/>
          <w:sz w:val="24"/>
          <w:szCs w:val="24"/>
        </w:rPr>
      </w:pPr>
    </w:p>
    <w:p w14:paraId="06117841" w14:textId="77777777" w:rsidR="00416DB1" w:rsidRDefault="00416DB1">
      <w:pPr>
        <w:rPr>
          <w:rFonts w:ascii="Arial" w:hAnsi="Arial" w:cs="Arial"/>
          <w:b/>
          <w:bCs/>
          <w:sz w:val="24"/>
          <w:szCs w:val="24"/>
        </w:rPr>
      </w:pPr>
    </w:p>
    <w:p w14:paraId="79801B30" w14:textId="77777777" w:rsidR="00416DB1" w:rsidRDefault="00416DB1">
      <w:pPr>
        <w:rPr>
          <w:rFonts w:ascii="Arial" w:hAnsi="Arial" w:cs="Arial"/>
          <w:b/>
          <w:bCs/>
          <w:sz w:val="24"/>
          <w:szCs w:val="24"/>
        </w:rPr>
      </w:pPr>
    </w:p>
    <w:p w14:paraId="0C5CE6C0" w14:textId="77777777" w:rsidR="00416DB1" w:rsidRDefault="00416DB1">
      <w:pPr>
        <w:rPr>
          <w:rFonts w:ascii="Arial" w:hAnsi="Arial" w:cs="Arial"/>
          <w:b/>
          <w:bCs/>
          <w:sz w:val="24"/>
          <w:szCs w:val="24"/>
        </w:rPr>
      </w:pPr>
    </w:p>
    <w:p w14:paraId="04C43A4A" w14:textId="77777777" w:rsidR="00416DB1" w:rsidRDefault="00416DB1">
      <w:pPr>
        <w:rPr>
          <w:rFonts w:ascii="Arial" w:hAnsi="Arial" w:cs="Arial"/>
          <w:b/>
          <w:bCs/>
          <w:sz w:val="24"/>
          <w:szCs w:val="24"/>
        </w:rPr>
      </w:pPr>
    </w:p>
    <w:p w14:paraId="5FF74C10" w14:textId="77777777" w:rsidR="00416DB1" w:rsidRDefault="00416DB1">
      <w:pPr>
        <w:rPr>
          <w:rFonts w:ascii="Arial" w:hAnsi="Arial" w:cs="Arial"/>
          <w:b/>
          <w:bCs/>
          <w:sz w:val="24"/>
          <w:szCs w:val="24"/>
        </w:rPr>
      </w:pPr>
    </w:p>
    <w:p w14:paraId="5669C3A5" w14:textId="77777777" w:rsidR="00416DB1" w:rsidRDefault="00416DB1">
      <w:pPr>
        <w:rPr>
          <w:rFonts w:ascii="Arial" w:hAnsi="Arial" w:cs="Arial"/>
          <w:b/>
          <w:bCs/>
          <w:sz w:val="24"/>
          <w:szCs w:val="24"/>
        </w:rPr>
      </w:pPr>
    </w:p>
    <w:p w14:paraId="789875D2" w14:textId="77777777" w:rsidR="00416DB1" w:rsidRDefault="00416DB1">
      <w:pPr>
        <w:rPr>
          <w:rFonts w:ascii="Arial" w:hAnsi="Arial" w:cs="Arial"/>
          <w:b/>
          <w:bCs/>
          <w:sz w:val="24"/>
          <w:szCs w:val="24"/>
        </w:rPr>
      </w:pPr>
    </w:p>
    <w:p w14:paraId="7536ED74" w14:textId="328377D2" w:rsidR="001D06B0" w:rsidRPr="001D06B0" w:rsidRDefault="001D06B0">
      <w:pPr>
        <w:rPr>
          <w:rFonts w:ascii="Arial" w:hAnsi="Arial" w:cs="Arial"/>
          <w:b/>
          <w:bCs/>
          <w:sz w:val="24"/>
          <w:szCs w:val="24"/>
        </w:rPr>
      </w:pPr>
      <w:r w:rsidRPr="001D06B0">
        <w:rPr>
          <w:rFonts w:ascii="Arial" w:hAnsi="Arial" w:cs="Arial"/>
          <w:b/>
          <w:bCs/>
          <w:sz w:val="24"/>
          <w:szCs w:val="24"/>
        </w:rPr>
        <w:t>ANNEX A:  THE GATEWAY</w:t>
      </w:r>
    </w:p>
    <w:p w14:paraId="6F37A61A" w14:textId="168AE2FF" w:rsidR="001D06B0" w:rsidRDefault="001D06B0">
      <w:pPr>
        <w:rPr>
          <w:rFonts w:ascii="Arial" w:hAnsi="Arial" w:cs="Arial"/>
          <w:sz w:val="24"/>
          <w:szCs w:val="24"/>
        </w:rPr>
      </w:pPr>
    </w:p>
    <w:p w14:paraId="693309E1" w14:textId="071E7D0B" w:rsidR="00D71239" w:rsidRDefault="00D71239">
      <w:pPr>
        <w:rPr>
          <w:rFonts w:ascii="Arial" w:hAnsi="Arial" w:cs="Arial"/>
          <w:sz w:val="24"/>
          <w:szCs w:val="24"/>
        </w:rPr>
      </w:pPr>
      <w:r>
        <w:rPr>
          <w:rFonts w:ascii="Arial" w:hAnsi="Arial" w:cs="Arial"/>
          <w:sz w:val="24"/>
          <w:szCs w:val="24"/>
        </w:rPr>
        <w:t>Historic England Listing: Grade II</w:t>
      </w:r>
    </w:p>
    <w:p w14:paraId="1BDCF502" w14:textId="36B97BF1" w:rsidR="00D71239" w:rsidRPr="00D71239" w:rsidRDefault="00D71239" w:rsidP="00D71239">
      <w:pPr>
        <w:rPr>
          <w:rFonts w:ascii="Arial" w:hAnsi="Arial" w:cs="Arial"/>
          <w:sz w:val="24"/>
          <w:szCs w:val="24"/>
        </w:rPr>
      </w:pPr>
      <w:r w:rsidRPr="00D71239">
        <w:rPr>
          <w:rFonts w:ascii="Arial" w:hAnsi="Arial" w:cs="Arial"/>
          <w:sz w:val="24"/>
          <w:szCs w:val="24"/>
        </w:rPr>
        <w:t>List Entry Number</w:t>
      </w:r>
      <w:r>
        <w:rPr>
          <w:rFonts w:ascii="Arial" w:hAnsi="Arial" w:cs="Arial"/>
          <w:sz w:val="24"/>
          <w:szCs w:val="24"/>
        </w:rPr>
        <w:t>:</w:t>
      </w:r>
      <w:r w:rsidRPr="00D71239">
        <w:rPr>
          <w:rFonts w:ascii="Arial" w:hAnsi="Arial" w:cs="Arial"/>
          <w:sz w:val="24"/>
          <w:szCs w:val="24"/>
        </w:rPr>
        <w:t>1340485</w:t>
      </w:r>
    </w:p>
    <w:p w14:paraId="37AFCA57" w14:textId="0BF5C5D3" w:rsidR="00D71239" w:rsidRDefault="00D71239" w:rsidP="00D71239">
      <w:pPr>
        <w:rPr>
          <w:rFonts w:ascii="Arial" w:hAnsi="Arial" w:cs="Arial"/>
          <w:sz w:val="24"/>
          <w:szCs w:val="24"/>
        </w:rPr>
      </w:pPr>
      <w:r w:rsidRPr="00D71239">
        <w:rPr>
          <w:rFonts w:ascii="Arial" w:hAnsi="Arial" w:cs="Arial"/>
          <w:sz w:val="24"/>
          <w:szCs w:val="24"/>
        </w:rPr>
        <w:t>Date first listed</w:t>
      </w:r>
      <w:r>
        <w:rPr>
          <w:rFonts w:ascii="Arial" w:hAnsi="Arial" w:cs="Arial"/>
          <w:sz w:val="24"/>
          <w:szCs w:val="24"/>
        </w:rPr>
        <w:t xml:space="preserve">: </w:t>
      </w:r>
      <w:r w:rsidRPr="00D71239">
        <w:rPr>
          <w:rFonts w:ascii="Arial" w:hAnsi="Arial" w:cs="Arial"/>
          <w:sz w:val="24"/>
          <w:szCs w:val="24"/>
        </w:rPr>
        <w:t>28</w:t>
      </w:r>
      <w:r>
        <w:rPr>
          <w:rFonts w:ascii="Arial" w:hAnsi="Arial" w:cs="Arial"/>
          <w:sz w:val="24"/>
          <w:szCs w:val="24"/>
        </w:rPr>
        <w:t xml:space="preserve"> </w:t>
      </w:r>
      <w:r w:rsidRPr="00D71239">
        <w:rPr>
          <w:rFonts w:ascii="Arial" w:hAnsi="Arial" w:cs="Arial"/>
          <w:sz w:val="24"/>
          <w:szCs w:val="24"/>
        </w:rPr>
        <w:t>Jun</w:t>
      </w:r>
      <w:r>
        <w:rPr>
          <w:rFonts w:ascii="Arial" w:hAnsi="Arial" w:cs="Arial"/>
          <w:sz w:val="24"/>
          <w:szCs w:val="24"/>
        </w:rPr>
        <w:t xml:space="preserve"> </w:t>
      </w:r>
      <w:r w:rsidRPr="00D71239">
        <w:rPr>
          <w:rFonts w:ascii="Arial" w:hAnsi="Arial" w:cs="Arial"/>
          <w:sz w:val="24"/>
          <w:szCs w:val="24"/>
        </w:rPr>
        <w:t>1960</w:t>
      </w:r>
    </w:p>
    <w:p w14:paraId="64601D11" w14:textId="7B1CE80D" w:rsidR="004540BE" w:rsidRDefault="004540BE" w:rsidP="00D71239">
      <w:pPr>
        <w:rPr>
          <w:rFonts w:ascii="Arial" w:hAnsi="Arial" w:cs="Arial"/>
          <w:sz w:val="24"/>
          <w:szCs w:val="24"/>
        </w:rPr>
      </w:pPr>
      <w:r w:rsidRPr="004540BE">
        <w:rPr>
          <w:rFonts w:ascii="Arial" w:hAnsi="Arial" w:cs="Arial"/>
          <w:sz w:val="24"/>
          <w:szCs w:val="24"/>
        </w:rPr>
        <w:t>Eyecatcher folly, converted into house. Late C18, for Sir George Onesiphorus Paul. Random thin-bedded rubble limestone. Two round 2-storey towers with gateway between. Three stone Y-traceried pointed arched Gothick windows to upper floor of each tower, 2 below either side of pointed doorway with lattice- patterned door. Cross slits in high parapets to towers, quatrefoils at higher level. Flat roofs to towers. Linking wall with crenellated parapet has large 4-centred archway, now with recessed C20 infill. C20 lean-to concrete block built addition to rear is not of special interest. Built to be seen against wooded back-drop from Sir George's Rodborough Manor, situated on opposite side of small valley. (B.Jones, Follies and Grottoes, 1974; and D. Verey, Gloucestershire: The Cotswolds, 1979.</w:t>
      </w:r>
    </w:p>
    <w:p w14:paraId="1EFF42A5" w14:textId="41AC7A99" w:rsidR="00C270DD" w:rsidRDefault="00C270DD" w:rsidP="00D71239">
      <w:pPr>
        <w:rPr>
          <w:rFonts w:ascii="Arial" w:hAnsi="Arial" w:cs="Arial"/>
          <w:sz w:val="24"/>
          <w:szCs w:val="24"/>
        </w:rPr>
      </w:pPr>
    </w:p>
    <w:p w14:paraId="10E82470" w14:textId="3D07393C" w:rsidR="00C270DD" w:rsidRDefault="00C270DD" w:rsidP="00D71239">
      <w:pPr>
        <w:rPr>
          <w:rFonts w:ascii="Arial" w:hAnsi="Arial" w:cs="Arial"/>
          <w:sz w:val="24"/>
          <w:szCs w:val="24"/>
        </w:rPr>
      </w:pPr>
    </w:p>
    <w:p w14:paraId="592B9A7F" w14:textId="78D2E2F5" w:rsidR="00C270DD" w:rsidRDefault="00C270DD" w:rsidP="00D71239">
      <w:pPr>
        <w:rPr>
          <w:rFonts w:ascii="Arial" w:hAnsi="Arial" w:cs="Arial"/>
          <w:sz w:val="24"/>
          <w:szCs w:val="24"/>
        </w:rPr>
      </w:pPr>
    </w:p>
    <w:p w14:paraId="4D59D5A0" w14:textId="0A654873" w:rsidR="00C270DD" w:rsidRDefault="00C270DD" w:rsidP="00D71239">
      <w:pPr>
        <w:rPr>
          <w:rFonts w:ascii="Arial" w:hAnsi="Arial" w:cs="Arial"/>
          <w:sz w:val="24"/>
          <w:szCs w:val="24"/>
        </w:rPr>
      </w:pPr>
    </w:p>
    <w:p w14:paraId="6A9917C6" w14:textId="0E320962" w:rsidR="00C270DD" w:rsidRDefault="00C270DD" w:rsidP="00D71239">
      <w:pPr>
        <w:rPr>
          <w:rFonts w:ascii="Arial" w:hAnsi="Arial" w:cs="Arial"/>
          <w:sz w:val="24"/>
          <w:szCs w:val="24"/>
        </w:rPr>
      </w:pPr>
    </w:p>
    <w:p w14:paraId="309EB125" w14:textId="52FEA94A" w:rsidR="00C270DD" w:rsidRDefault="00C270DD" w:rsidP="00D71239">
      <w:pPr>
        <w:rPr>
          <w:rFonts w:ascii="Arial" w:hAnsi="Arial" w:cs="Arial"/>
          <w:sz w:val="24"/>
          <w:szCs w:val="24"/>
        </w:rPr>
      </w:pPr>
    </w:p>
    <w:p w14:paraId="0EB1555A" w14:textId="44240C87" w:rsidR="00C270DD" w:rsidRDefault="00C270DD" w:rsidP="00D71239">
      <w:pPr>
        <w:rPr>
          <w:rFonts w:ascii="Arial" w:hAnsi="Arial" w:cs="Arial"/>
          <w:sz w:val="24"/>
          <w:szCs w:val="24"/>
        </w:rPr>
      </w:pPr>
    </w:p>
    <w:p w14:paraId="36015EAD" w14:textId="6D99DF32" w:rsidR="00C270DD" w:rsidRDefault="00C270DD" w:rsidP="00D71239">
      <w:pPr>
        <w:rPr>
          <w:rFonts w:ascii="Arial" w:hAnsi="Arial" w:cs="Arial"/>
          <w:sz w:val="24"/>
          <w:szCs w:val="24"/>
        </w:rPr>
      </w:pPr>
    </w:p>
    <w:p w14:paraId="431484E3" w14:textId="053ADEE5" w:rsidR="00C270DD" w:rsidRDefault="00C270DD" w:rsidP="00D71239">
      <w:pPr>
        <w:rPr>
          <w:rFonts w:ascii="Arial" w:hAnsi="Arial" w:cs="Arial"/>
          <w:sz w:val="24"/>
          <w:szCs w:val="24"/>
        </w:rPr>
      </w:pPr>
    </w:p>
    <w:p w14:paraId="3E85B648" w14:textId="2AAEBFC0" w:rsidR="00C270DD" w:rsidRDefault="00C270DD" w:rsidP="00D71239">
      <w:pPr>
        <w:rPr>
          <w:rFonts w:ascii="Arial" w:hAnsi="Arial" w:cs="Arial"/>
          <w:sz w:val="24"/>
          <w:szCs w:val="24"/>
        </w:rPr>
      </w:pPr>
    </w:p>
    <w:p w14:paraId="0CFEE931" w14:textId="2A44B85F" w:rsidR="00C270DD" w:rsidRDefault="00C270DD" w:rsidP="00D71239">
      <w:pPr>
        <w:rPr>
          <w:rFonts w:ascii="Arial" w:hAnsi="Arial" w:cs="Arial"/>
          <w:sz w:val="24"/>
          <w:szCs w:val="24"/>
        </w:rPr>
      </w:pPr>
    </w:p>
    <w:p w14:paraId="2961D780" w14:textId="29950BD0" w:rsidR="00C270DD" w:rsidRDefault="00C270DD" w:rsidP="00D71239">
      <w:pPr>
        <w:rPr>
          <w:rFonts w:ascii="Arial" w:hAnsi="Arial" w:cs="Arial"/>
          <w:sz w:val="24"/>
          <w:szCs w:val="24"/>
        </w:rPr>
      </w:pPr>
    </w:p>
    <w:p w14:paraId="55F2FAE2" w14:textId="658FA583" w:rsidR="00C270DD" w:rsidRDefault="00C270DD" w:rsidP="00D71239">
      <w:pPr>
        <w:rPr>
          <w:rFonts w:ascii="Arial" w:hAnsi="Arial" w:cs="Arial"/>
          <w:sz w:val="24"/>
          <w:szCs w:val="24"/>
        </w:rPr>
      </w:pPr>
    </w:p>
    <w:p w14:paraId="52CD84A1" w14:textId="3165FFDD" w:rsidR="00C270DD" w:rsidRDefault="00C270DD" w:rsidP="00D71239">
      <w:pPr>
        <w:rPr>
          <w:rFonts w:ascii="Arial" w:hAnsi="Arial" w:cs="Arial"/>
          <w:sz w:val="24"/>
          <w:szCs w:val="24"/>
        </w:rPr>
      </w:pPr>
    </w:p>
    <w:p w14:paraId="31157FED" w14:textId="20D97B3F" w:rsidR="00C270DD" w:rsidRDefault="00C270DD" w:rsidP="00D71239">
      <w:pPr>
        <w:rPr>
          <w:rFonts w:ascii="Arial" w:hAnsi="Arial" w:cs="Arial"/>
          <w:sz w:val="24"/>
          <w:szCs w:val="24"/>
        </w:rPr>
      </w:pPr>
    </w:p>
    <w:p w14:paraId="5259D2B0" w14:textId="77777777" w:rsidR="00C270DD" w:rsidRDefault="00C270DD" w:rsidP="00D71239">
      <w:pPr>
        <w:rPr>
          <w:rFonts w:ascii="Arial" w:hAnsi="Arial" w:cs="Arial"/>
          <w:sz w:val="24"/>
          <w:szCs w:val="24"/>
        </w:rPr>
      </w:pPr>
    </w:p>
    <w:p w14:paraId="21E72F1D" w14:textId="6E6F6135" w:rsidR="00C270DD" w:rsidRDefault="00C270DD" w:rsidP="00D71239">
      <w:pPr>
        <w:rPr>
          <w:rFonts w:ascii="Arial" w:hAnsi="Arial" w:cs="Arial"/>
          <w:b/>
          <w:bCs/>
          <w:sz w:val="24"/>
          <w:szCs w:val="24"/>
        </w:rPr>
      </w:pPr>
      <w:r>
        <w:rPr>
          <w:rFonts w:ascii="Arial" w:hAnsi="Arial" w:cs="Arial"/>
          <w:b/>
          <w:bCs/>
          <w:sz w:val="24"/>
          <w:szCs w:val="24"/>
        </w:rPr>
        <w:t>ANNEX B:  C18 WALK AND MODERN RIGHTS OF WAY</w:t>
      </w:r>
    </w:p>
    <w:p w14:paraId="614959FD" w14:textId="151EBB8A" w:rsidR="00C270DD" w:rsidRDefault="00C270DD" w:rsidP="00D71239">
      <w:pPr>
        <w:rPr>
          <w:rFonts w:ascii="Arial" w:hAnsi="Arial" w:cs="Arial"/>
          <w:sz w:val="24"/>
          <w:szCs w:val="24"/>
        </w:rPr>
      </w:pPr>
      <w:r>
        <w:rPr>
          <w:rFonts w:ascii="Arial" w:hAnsi="Arial" w:cs="Arial"/>
          <w:sz w:val="24"/>
          <w:szCs w:val="24"/>
        </w:rPr>
        <w:t>The walk starts by Spinney Bank (built over an original section of the walk) and is shown by a black line until absorbed by the blue line indicating Bridleway MMH182.  Basemap is the online Gloucestershire Public Rights of Way map (</w:t>
      </w:r>
      <w:hyperlink r:id="rId17" w:history="1">
        <w:r w:rsidRPr="00F4137F">
          <w:rPr>
            <w:rStyle w:val="Hyperlink"/>
            <w:rFonts w:ascii="Arial" w:hAnsi="Arial" w:cs="Arial"/>
            <w:sz w:val="24"/>
            <w:szCs w:val="24"/>
          </w:rPr>
          <w:t>https://maps.gloucestershire.gov.uk/MapThatPublic/Default.aspx</w:t>
        </w:r>
      </w:hyperlink>
      <w:r>
        <w:rPr>
          <w:rFonts w:ascii="Arial" w:hAnsi="Arial" w:cs="Arial"/>
          <w:sz w:val="24"/>
          <w:szCs w:val="24"/>
        </w:rPr>
        <w:t>, accessed 29 July 2021)</w:t>
      </w:r>
    </w:p>
    <w:p w14:paraId="570D69EF" w14:textId="0B81119C" w:rsidR="00F43CA0" w:rsidRDefault="0082235D" w:rsidP="00D71239">
      <w:pPr>
        <w:rPr>
          <w:rFonts w:ascii="Arial" w:hAnsi="Arial" w:cs="Arial"/>
          <w:sz w:val="24"/>
          <w:szCs w:val="24"/>
        </w:rPr>
      </w:pPr>
      <w:r>
        <w:rPr>
          <w:rFonts w:ascii="Arial" w:hAnsi="Arial" w:cs="Arial"/>
          <w:noProof/>
          <w:sz w:val="24"/>
          <w:szCs w:val="24"/>
        </w:rPr>
        <w:lastRenderedPageBreak/>
        <w:drawing>
          <wp:inline distT="0" distB="0" distL="0" distR="0" wp14:anchorId="718D3F6C" wp14:editId="28E97A8A">
            <wp:extent cx="5660136" cy="6263640"/>
            <wp:effectExtent l="0" t="0" r="0" b="3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60136" cy="6263640"/>
                    </a:xfrm>
                    <a:prstGeom prst="rect">
                      <a:avLst/>
                    </a:prstGeom>
                  </pic:spPr>
                </pic:pic>
              </a:graphicData>
            </a:graphic>
          </wp:inline>
        </w:drawing>
      </w:r>
    </w:p>
    <w:p w14:paraId="4D27D267" w14:textId="238ABF48" w:rsidR="00F43CA0" w:rsidRPr="00C270DD" w:rsidRDefault="00F43CA0" w:rsidP="00D71239">
      <w:pPr>
        <w:rPr>
          <w:rFonts w:ascii="Arial" w:hAnsi="Arial" w:cs="Arial"/>
          <w:sz w:val="24"/>
          <w:szCs w:val="24"/>
        </w:rPr>
      </w:pPr>
    </w:p>
    <w:sectPr w:rsidR="00F43CA0" w:rsidRPr="00C270DD" w:rsidSect="00B65277">
      <w:footerReference w:type="default" r:id="rId19"/>
      <w:headerReference w:type="first" r:id="rId20"/>
      <w:footerReference w:type="firs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4AE2" w14:textId="77777777" w:rsidR="00B47938" w:rsidRDefault="00B47938" w:rsidP="00F33CF2">
      <w:pPr>
        <w:spacing w:after="0" w:line="240" w:lineRule="auto"/>
      </w:pPr>
      <w:r>
        <w:separator/>
      </w:r>
    </w:p>
  </w:endnote>
  <w:endnote w:type="continuationSeparator" w:id="0">
    <w:p w14:paraId="11AC6D68" w14:textId="77777777" w:rsidR="00B47938" w:rsidRDefault="00B47938" w:rsidP="00F3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916825"/>
      <w:docPartObj>
        <w:docPartGallery w:val="Page Numbers (Bottom of Page)"/>
        <w:docPartUnique/>
      </w:docPartObj>
    </w:sdtPr>
    <w:sdtEndPr>
      <w:rPr>
        <w:noProof/>
      </w:rPr>
    </w:sdtEndPr>
    <w:sdtContent>
      <w:p w14:paraId="03BE6988" w14:textId="3A8C60A3" w:rsidR="00C05482" w:rsidRDefault="00C054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059BC1" w14:textId="77777777" w:rsidR="00C05482" w:rsidRDefault="00C05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5E2B" w14:textId="77777777" w:rsidR="00B65277" w:rsidRDefault="00B65277" w:rsidP="00B65277">
    <w:pPr>
      <w:pStyle w:val="Footer"/>
    </w:pPr>
    <w:r>
      <w:tab/>
      <w:t>Patrons: Earl of Weymss and March, Lady Mary Keen, Ms Sue Illman, Mr John Sales</w:t>
    </w:r>
  </w:p>
  <w:p w14:paraId="37C94B2C" w14:textId="77777777" w:rsidR="00B65277" w:rsidRDefault="00B65277" w:rsidP="00B65277">
    <w:pPr>
      <w:pStyle w:val="Footer"/>
    </w:pPr>
    <w:r>
      <w:tab/>
      <w:t>website:www.gglt.org email: gglt@live.co.uk</w:t>
    </w:r>
  </w:p>
  <w:p w14:paraId="4055AFA0" w14:textId="77777777" w:rsidR="00B65277" w:rsidRDefault="00B65277" w:rsidP="00B65277">
    <w:pPr>
      <w:pStyle w:val="Footer"/>
    </w:pPr>
    <w:r>
      <w:tab/>
      <w:t>Registered charity no 1067816</w:t>
    </w:r>
  </w:p>
  <w:p w14:paraId="70AD8872" w14:textId="323F6265" w:rsidR="00B65277" w:rsidRDefault="00B65277" w:rsidP="00B65277">
    <w:pPr>
      <w:pStyle w:val="Footer"/>
    </w:pPr>
    <w:r>
      <w:tab/>
      <w:t>affiliated to the Gardens Trust www.thegardenstrust.org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C031" w14:textId="77777777" w:rsidR="00B47938" w:rsidRDefault="00B47938" w:rsidP="00F33CF2">
      <w:pPr>
        <w:spacing w:after="0" w:line="240" w:lineRule="auto"/>
      </w:pPr>
      <w:r>
        <w:separator/>
      </w:r>
    </w:p>
  </w:footnote>
  <w:footnote w:type="continuationSeparator" w:id="0">
    <w:p w14:paraId="6B8420CE" w14:textId="77777777" w:rsidR="00B47938" w:rsidRDefault="00B47938" w:rsidP="00F33CF2">
      <w:pPr>
        <w:spacing w:after="0" w:line="240" w:lineRule="auto"/>
      </w:pPr>
      <w:r>
        <w:continuationSeparator/>
      </w:r>
    </w:p>
  </w:footnote>
  <w:footnote w:id="1">
    <w:p w14:paraId="57A25126" w14:textId="6915B608" w:rsidR="009D36B0" w:rsidRPr="00F00224" w:rsidRDefault="009D36B0">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VCH </w:t>
      </w:r>
      <w:r w:rsidRPr="00F00224">
        <w:rPr>
          <w:rFonts w:ascii="Arial" w:hAnsi="Arial" w:cs="Arial"/>
          <w:i/>
          <w:iCs/>
        </w:rPr>
        <w:t>Gloucestershire</w:t>
      </w:r>
      <w:r w:rsidRPr="00F00224">
        <w:rPr>
          <w:rFonts w:ascii="Arial" w:hAnsi="Arial" w:cs="Arial"/>
        </w:rPr>
        <w:t xml:space="preserve">, Vol XI (1976) p.223; the discussion of preceding estates is continued in Martin Eccleston, </w:t>
      </w:r>
      <w:r w:rsidRPr="00F00224">
        <w:rPr>
          <w:rFonts w:ascii="Arial" w:hAnsi="Arial" w:cs="Arial"/>
          <w:i/>
          <w:iCs/>
        </w:rPr>
        <w:t xml:space="preserve">The Location of two Medieval Properties in Rodborough </w:t>
      </w:r>
      <w:r w:rsidRPr="00F00224">
        <w:rPr>
          <w:rFonts w:ascii="Arial" w:hAnsi="Arial" w:cs="Arial"/>
        </w:rPr>
        <w:t>(</w:t>
      </w:r>
      <w:r w:rsidRPr="00F00224">
        <w:rPr>
          <w:rFonts w:ascii="Arial" w:hAnsi="Arial" w:cs="Arial"/>
          <w:i/>
          <w:iCs/>
        </w:rPr>
        <w:t xml:space="preserve">Glevensis </w:t>
      </w:r>
      <w:r w:rsidRPr="00F00224">
        <w:rPr>
          <w:rFonts w:ascii="Arial" w:hAnsi="Arial" w:cs="Arial"/>
        </w:rPr>
        <w:t>33, 2002, pp.29-36)</w:t>
      </w:r>
      <w:r w:rsidR="00893D3C">
        <w:rPr>
          <w:rFonts w:ascii="Arial" w:hAnsi="Arial" w:cs="Arial"/>
        </w:rPr>
        <w:t>.</w:t>
      </w:r>
    </w:p>
  </w:footnote>
  <w:footnote w:id="2">
    <w:p w14:paraId="2BDC709B" w14:textId="3BA5F786" w:rsidR="00775D6F" w:rsidRDefault="00775D6F">
      <w:pPr>
        <w:pStyle w:val="FootnoteText"/>
      </w:pPr>
      <w:r>
        <w:rPr>
          <w:rStyle w:val="FootnoteReference"/>
        </w:rPr>
        <w:footnoteRef/>
      </w:r>
      <w:r>
        <w:t xml:space="preserve"> </w:t>
      </w:r>
      <w:r w:rsidRPr="00775D6F">
        <w:rPr>
          <w:rFonts w:ascii="Arial" w:hAnsi="Arial" w:cs="Arial"/>
        </w:rPr>
        <w:t xml:space="preserve">VCH, op.cit, p.224, reports that </w:t>
      </w:r>
      <w:r w:rsidR="00893D3C">
        <w:rPr>
          <w:rFonts w:ascii="Arial" w:hAnsi="Arial" w:cs="Arial"/>
        </w:rPr>
        <w:t xml:space="preserve">according to </w:t>
      </w:r>
      <w:r w:rsidRPr="00775D6F">
        <w:rPr>
          <w:rFonts w:ascii="Arial" w:hAnsi="Arial" w:cs="Arial"/>
        </w:rPr>
        <w:t>the then</w:t>
      </w:r>
      <w:r w:rsidR="00893D3C">
        <w:rPr>
          <w:rFonts w:ascii="Arial" w:hAnsi="Arial" w:cs="Arial"/>
        </w:rPr>
        <w:t xml:space="preserve"> (1976)</w:t>
      </w:r>
      <w:r w:rsidRPr="00775D6F">
        <w:rPr>
          <w:rFonts w:ascii="Arial" w:hAnsi="Arial" w:cs="Arial"/>
        </w:rPr>
        <w:t xml:space="preserve"> current owner materials from the old house incorporated into the new included a mid C18 marble fireplace and a Paul coat of arms formerly on the south front pediment</w:t>
      </w:r>
      <w:r>
        <w:t>.</w:t>
      </w:r>
    </w:p>
  </w:footnote>
  <w:footnote w:id="3">
    <w:p w14:paraId="3A6BB3DA" w14:textId="6E09DE0E" w:rsidR="00333AB5" w:rsidRDefault="00333AB5">
      <w:pPr>
        <w:pStyle w:val="FootnoteText"/>
      </w:pPr>
      <w:r>
        <w:rPr>
          <w:rStyle w:val="FootnoteReference"/>
        </w:rPr>
        <w:footnoteRef/>
      </w:r>
      <w:r>
        <w:t xml:space="preserve"> </w:t>
      </w:r>
      <w:r w:rsidRPr="005126FD">
        <w:rPr>
          <w:rFonts w:ascii="Arial" w:hAnsi="Arial" w:cs="Arial"/>
        </w:rPr>
        <w:t>1889 sale particulars (G</w:t>
      </w:r>
      <w:r w:rsidR="00893D3C">
        <w:rPr>
          <w:rFonts w:ascii="Arial" w:hAnsi="Arial" w:cs="Arial"/>
        </w:rPr>
        <w:t>loucestershire Archives (G</w:t>
      </w:r>
      <w:r w:rsidRPr="005126FD">
        <w:rPr>
          <w:rFonts w:ascii="Arial" w:hAnsi="Arial" w:cs="Arial"/>
        </w:rPr>
        <w:t>A</w:t>
      </w:r>
      <w:r w:rsidR="00893D3C">
        <w:rPr>
          <w:rFonts w:ascii="Arial" w:hAnsi="Arial" w:cs="Arial"/>
        </w:rPr>
        <w:t>)</w:t>
      </w:r>
      <w:r w:rsidRPr="005126FD">
        <w:rPr>
          <w:rFonts w:ascii="Arial" w:hAnsi="Arial" w:cs="Arial"/>
        </w:rPr>
        <w:t xml:space="preserve"> D4335/167.</w:t>
      </w:r>
      <w:r w:rsidRPr="00F00224">
        <w:rPr>
          <w:rFonts w:ascii="Arial" w:hAnsi="Arial" w:cs="Arial"/>
        </w:rPr>
        <w:t xml:space="preserve"> These particulars appear to be the first use of the house/estate name Rodborough Manor, rather than Hill House, although Sir George had purchased the manorship in 1806 (VCH, op.cit, pp</w:t>
      </w:r>
      <w:r w:rsidR="0095420A">
        <w:rPr>
          <w:rFonts w:ascii="Arial" w:hAnsi="Arial" w:cs="Arial"/>
        </w:rPr>
        <w:t>.</w:t>
      </w:r>
      <w:r w:rsidRPr="00F00224">
        <w:rPr>
          <w:rFonts w:ascii="Arial" w:hAnsi="Arial" w:cs="Arial"/>
        </w:rPr>
        <w:t>223-234</w:t>
      </w:r>
      <w:r w:rsidR="00893D3C">
        <w:rPr>
          <w:rFonts w:ascii="Arial" w:hAnsi="Arial" w:cs="Arial"/>
        </w:rPr>
        <w:t>).</w:t>
      </w:r>
    </w:p>
  </w:footnote>
  <w:footnote w:id="4">
    <w:p w14:paraId="32708882" w14:textId="0E79601F" w:rsidR="009378BF" w:rsidRPr="00F00224" w:rsidRDefault="009378BF">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w:t>
      </w:r>
      <w:r w:rsidR="006766EC" w:rsidRPr="00F00224">
        <w:rPr>
          <w:rFonts w:ascii="Arial" w:hAnsi="Arial" w:cs="Arial"/>
        </w:rPr>
        <w:t>Account books (GA</w:t>
      </w:r>
      <w:r w:rsidR="00893D3C">
        <w:rPr>
          <w:rFonts w:ascii="Arial" w:hAnsi="Arial" w:cs="Arial"/>
        </w:rPr>
        <w:t>,</w:t>
      </w:r>
      <w:r w:rsidR="006766EC" w:rsidRPr="00F00224">
        <w:rPr>
          <w:rFonts w:ascii="Arial" w:hAnsi="Arial" w:cs="Arial"/>
        </w:rPr>
        <w:t xml:space="preserve"> D589/Box F) detail expenditure of over £7,000 on improving the house and grounds</w:t>
      </w:r>
      <w:r w:rsidR="00153EB8" w:rsidRPr="00F00224">
        <w:rPr>
          <w:rFonts w:ascii="Arial" w:hAnsi="Arial" w:cs="Arial"/>
        </w:rPr>
        <w:t xml:space="preserve"> in this period.</w:t>
      </w:r>
    </w:p>
  </w:footnote>
  <w:footnote w:id="5">
    <w:p w14:paraId="77D0CED2" w14:textId="73B410BD" w:rsidR="005041E1" w:rsidRPr="00F00224" w:rsidRDefault="005041E1">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There is a full description of the house in Nicholas Kingsley,</w:t>
      </w:r>
      <w:r w:rsidR="00EF04EC">
        <w:rPr>
          <w:rFonts w:ascii="Arial" w:hAnsi="Arial" w:cs="Arial"/>
        </w:rPr>
        <w:t xml:space="preserve"> </w:t>
      </w:r>
      <w:r w:rsidRPr="00F00224">
        <w:rPr>
          <w:rFonts w:ascii="Arial" w:hAnsi="Arial" w:cs="Arial"/>
          <w:i/>
          <w:iCs/>
        </w:rPr>
        <w:t xml:space="preserve">The Country Houses of Gloucestershire: Volume Two 1660-1830 </w:t>
      </w:r>
      <w:r w:rsidRPr="00F00224">
        <w:rPr>
          <w:rFonts w:ascii="Arial" w:hAnsi="Arial" w:cs="Arial"/>
        </w:rPr>
        <w:t>(1982)</w:t>
      </w:r>
      <w:r w:rsidR="00364B5E" w:rsidRPr="00F00224">
        <w:rPr>
          <w:rFonts w:ascii="Arial" w:hAnsi="Arial" w:cs="Arial"/>
        </w:rPr>
        <w:t>,</w:t>
      </w:r>
      <w:r w:rsidR="00632A74" w:rsidRPr="00F00224">
        <w:rPr>
          <w:rFonts w:ascii="Arial" w:hAnsi="Arial" w:cs="Arial"/>
        </w:rPr>
        <w:t xml:space="preserve"> pp.212-214,</w:t>
      </w:r>
      <w:r w:rsidR="00364B5E" w:rsidRPr="00F00224">
        <w:rPr>
          <w:rFonts w:ascii="Arial" w:hAnsi="Arial" w:cs="Arial"/>
        </w:rPr>
        <w:t xml:space="preserve"> </w:t>
      </w:r>
      <w:r w:rsidR="00333AB5">
        <w:rPr>
          <w:rFonts w:ascii="Arial" w:hAnsi="Arial" w:cs="Arial"/>
        </w:rPr>
        <w:t>largely based on the 1889 particulars, and I have simply condensed that account</w:t>
      </w:r>
      <w:r w:rsidRPr="00F00224">
        <w:rPr>
          <w:rFonts w:ascii="Arial" w:hAnsi="Arial" w:cs="Arial"/>
        </w:rPr>
        <w:t xml:space="preserve">. </w:t>
      </w:r>
      <w:r w:rsidR="00333AB5">
        <w:rPr>
          <w:rFonts w:ascii="Arial" w:hAnsi="Arial" w:cs="Arial"/>
        </w:rPr>
        <w:t>Nicholas</w:t>
      </w:r>
      <w:r w:rsidR="00364B5E" w:rsidRPr="00F00224">
        <w:rPr>
          <w:rFonts w:ascii="Arial" w:hAnsi="Arial" w:cs="Arial"/>
        </w:rPr>
        <w:t xml:space="preserve"> Kingsley</w:t>
      </w:r>
      <w:r w:rsidRPr="00F00224">
        <w:rPr>
          <w:rFonts w:ascii="Arial" w:hAnsi="Arial" w:cs="Arial"/>
        </w:rPr>
        <w:t xml:space="preserve"> posits</w:t>
      </w:r>
      <w:r w:rsidR="00EF04EC">
        <w:rPr>
          <w:rFonts w:ascii="Arial" w:hAnsi="Arial" w:cs="Arial"/>
        </w:rPr>
        <w:t xml:space="preserve"> there</w:t>
      </w:r>
      <w:r w:rsidRPr="00F00224">
        <w:rPr>
          <w:rFonts w:ascii="Arial" w:hAnsi="Arial" w:cs="Arial"/>
        </w:rPr>
        <w:t xml:space="preserve"> that Sir O Paul’s villa </w:t>
      </w:r>
      <w:r w:rsidR="00EF04EC">
        <w:rPr>
          <w:rFonts w:ascii="Arial" w:hAnsi="Arial" w:cs="Arial"/>
        </w:rPr>
        <w:t>ma</w:t>
      </w:r>
      <w:r w:rsidRPr="00F00224">
        <w:rPr>
          <w:rFonts w:ascii="Arial" w:hAnsi="Arial" w:cs="Arial"/>
        </w:rPr>
        <w:t xml:space="preserve">y also </w:t>
      </w:r>
      <w:r w:rsidR="00EF04EC">
        <w:rPr>
          <w:rFonts w:ascii="Arial" w:hAnsi="Arial" w:cs="Arial"/>
        </w:rPr>
        <w:t>have been</w:t>
      </w:r>
      <w:r w:rsidRPr="00F00224">
        <w:rPr>
          <w:rFonts w:ascii="Arial" w:hAnsi="Arial" w:cs="Arial"/>
        </w:rPr>
        <w:t xml:space="preserve"> Anthony Keck’s work, in which case it would be one of his earliest commissions</w:t>
      </w:r>
      <w:r w:rsidR="00EF04EC">
        <w:rPr>
          <w:rFonts w:ascii="Arial" w:hAnsi="Arial" w:cs="Arial"/>
        </w:rPr>
        <w:t xml:space="preserve">. A small representation of the house in </w:t>
      </w:r>
      <w:r w:rsidR="00364B5E" w:rsidRPr="00F00224">
        <w:rPr>
          <w:rFonts w:ascii="Arial" w:hAnsi="Arial" w:cs="Arial"/>
        </w:rPr>
        <w:t xml:space="preserve">Plate </w:t>
      </w:r>
      <w:r w:rsidR="009378BF" w:rsidRPr="00F00224">
        <w:rPr>
          <w:rFonts w:ascii="Arial" w:hAnsi="Arial" w:cs="Arial"/>
        </w:rPr>
        <w:t>III</w:t>
      </w:r>
      <w:r w:rsidR="00364B5E" w:rsidRPr="00F00224">
        <w:rPr>
          <w:rFonts w:ascii="Arial" w:hAnsi="Arial" w:cs="Arial"/>
        </w:rPr>
        <w:t xml:space="preserve"> of Samuel Lysons’s </w:t>
      </w:r>
      <w:r w:rsidR="00364B5E" w:rsidRPr="00F00224">
        <w:rPr>
          <w:rFonts w:ascii="Arial" w:hAnsi="Arial" w:cs="Arial"/>
          <w:i/>
          <w:iCs/>
        </w:rPr>
        <w:t xml:space="preserve">An Account of Roman Antiquities Discovered at Woodchester </w:t>
      </w:r>
      <w:r w:rsidR="00364B5E" w:rsidRPr="00F00224">
        <w:rPr>
          <w:rFonts w:ascii="Arial" w:hAnsi="Arial" w:cs="Arial"/>
        </w:rPr>
        <w:t xml:space="preserve">(1797) appears to show </w:t>
      </w:r>
      <w:r w:rsidR="00893D3C">
        <w:rPr>
          <w:rFonts w:ascii="Arial" w:hAnsi="Arial" w:cs="Arial"/>
        </w:rPr>
        <w:t xml:space="preserve">that </w:t>
      </w:r>
      <w:r w:rsidR="00364B5E" w:rsidRPr="00F00224">
        <w:rPr>
          <w:rFonts w:ascii="Arial" w:hAnsi="Arial" w:cs="Arial"/>
        </w:rPr>
        <w:t xml:space="preserve">only the </w:t>
      </w:r>
      <w:r w:rsidR="00893D3C">
        <w:rPr>
          <w:rFonts w:ascii="Arial" w:hAnsi="Arial" w:cs="Arial"/>
        </w:rPr>
        <w:t>SW</w:t>
      </w:r>
      <w:r w:rsidR="00364B5E" w:rsidRPr="00F00224">
        <w:rPr>
          <w:rFonts w:ascii="Arial" w:hAnsi="Arial" w:cs="Arial"/>
        </w:rPr>
        <w:t xml:space="preserve"> wing had been added when the view was drawn</w:t>
      </w:r>
      <w:r w:rsidR="00EF04EC">
        <w:rPr>
          <w:rFonts w:ascii="Arial" w:hAnsi="Arial" w:cs="Arial"/>
        </w:rPr>
        <w:t xml:space="preserve">. Either </w:t>
      </w:r>
      <w:r w:rsidR="00364B5E" w:rsidRPr="00F00224">
        <w:rPr>
          <w:rFonts w:ascii="Arial" w:hAnsi="Arial" w:cs="Arial"/>
        </w:rPr>
        <w:t>the wings owed their final form to early C19 changes which echoed the style of Keck’s work (Keck died in 1797)</w:t>
      </w:r>
      <w:r w:rsidR="00EF04EC">
        <w:rPr>
          <w:rFonts w:ascii="Arial" w:hAnsi="Arial" w:cs="Arial"/>
        </w:rPr>
        <w:t xml:space="preserve"> or Lysons’s drawing was done several years before publication (Kingsley,</w:t>
      </w:r>
      <w:r w:rsidR="00EF04EC" w:rsidRPr="00EF04EC">
        <w:rPr>
          <w:rFonts w:ascii="Arial" w:hAnsi="Arial" w:cs="Arial"/>
          <w:i/>
          <w:iCs/>
        </w:rPr>
        <w:t>The Work of Anthony Keck I,</w:t>
      </w:r>
      <w:r w:rsidR="00EF04EC">
        <w:rPr>
          <w:rFonts w:ascii="Arial" w:hAnsi="Arial" w:cs="Arial"/>
        </w:rPr>
        <w:t xml:space="preserve"> Country Life, 20 October 1988, p.141)</w:t>
      </w:r>
      <w:r w:rsidR="00416DB1">
        <w:rPr>
          <w:rFonts w:ascii="Arial" w:hAnsi="Arial" w:cs="Arial"/>
        </w:rPr>
        <w:t>.</w:t>
      </w:r>
    </w:p>
  </w:footnote>
  <w:footnote w:id="6">
    <w:p w14:paraId="73376BB1" w14:textId="77777777" w:rsidR="009918E3" w:rsidRPr="00F00224" w:rsidRDefault="009918E3" w:rsidP="009918E3">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GA, D859/Box F includes two library catalogues, one of which – apparently the later - dates each volume but incudes no books dated after 1800. Other relevant books</w:t>
      </w:r>
      <w:r>
        <w:rPr>
          <w:rFonts w:ascii="Arial" w:hAnsi="Arial" w:cs="Arial"/>
        </w:rPr>
        <w:t xml:space="preserve"> listed</w:t>
      </w:r>
      <w:r w:rsidRPr="00F00224">
        <w:rPr>
          <w:rFonts w:ascii="Arial" w:hAnsi="Arial" w:cs="Arial"/>
        </w:rPr>
        <w:t xml:space="preserve"> include “Mawe’s Gardener”, John Kennedy’s </w:t>
      </w:r>
      <w:r w:rsidRPr="00F00224">
        <w:rPr>
          <w:rFonts w:ascii="Arial" w:hAnsi="Arial" w:cs="Arial"/>
          <w:i/>
          <w:iCs/>
        </w:rPr>
        <w:t>A Treatise upon Planting, Gardening and the Management of the Hot House</w:t>
      </w:r>
      <w:r w:rsidRPr="00F00224">
        <w:rPr>
          <w:rFonts w:ascii="Arial" w:hAnsi="Arial" w:cs="Arial"/>
        </w:rPr>
        <w:t>,</w:t>
      </w:r>
      <w:r w:rsidRPr="00F00224">
        <w:rPr>
          <w:rFonts w:ascii="Arial" w:hAnsi="Arial" w:cs="Arial"/>
          <w:i/>
          <w:iCs/>
        </w:rPr>
        <w:t xml:space="preserve"> </w:t>
      </w:r>
      <w:r w:rsidRPr="00F00224">
        <w:rPr>
          <w:rFonts w:ascii="Arial" w:hAnsi="Arial" w:cs="Arial"/>
        </w:rPr>
        <w:t xml:space="preserve">William Boutcher’s </w:t>
      </w:r>
      <w:r w:rsidRPr="00F00224">
        <w:rPr>
          <w:rFonts w:ascii="Arial" w:hAnsi="Arial" w:cs="Arial"/>
          <w:i/>
          <w:iCs/>
        </w:rPr>
        <w:t>A Treatise on Forest Trees</w:t>
      </w:r>
      <w:r w:rsidRPr="00F00224">
        <w:rPr>
          <w:rFonts w:ascii="Arial" w:hAnsi="Arial" w:cs="Arial"/>
        </w:rPr>
        <w:t xml:space="preserve"> and volumes on botany.</w:t>
      </w:r>
    </w:p>
  </w:footnote>
  <w:footnote w:id="7">
    <w:p w14:paraId="302B5F49" w14:textId="77777777" w:rsidR="009918E3" w:rsidRDefault="009918E3" w:rsidP="009918E3">
      <w:pPr>
        <w:pStyle w:val="FootnoteText"/>
      </w:pPr>
      <w:r>
        <w:rPr>
          <w:rStyle w:val="FootnoteReference"/>
        </w:rPr>
        <w:footnoteRef/>
      </w:r>
      <w:r>
        <w:t xml:space="preserve"> </w:t>
      </w:r>
      <w:r w:rsidRPr="00196D10">
        <w:rPr>
          <w:rFonts w:ascii="Arial" w:hAnsi="Arial" w:cs="Arial"/>
        </w:rPr>
        <w:t>The apportionment, as accessed on the GA online database</w:t>
      </w:r>
      <w:r w:rsidRPr="00633A7E">
        <w:rPr>
          <w:rFonts w:ascii="Arial" w:hAnsi="Arial" w:cs="Arial"/>
        </w:rPr>
        <w:t xml:space="preserve"> (</w:t>
      </w:r>
      <w:hyperlink r:id="rId1" w:history="1">
        <w:r w:rsidRPr="00633A7E">
          <w:rPr>
            <w:rStyle w:val="Hyperlink"/>
            <w:rFonts w:ascii="Arial" w:hAnsi="Arial" w:cs="Arial"/>
          </w:rPr>
          <w:t>https://ww3.gloucestershire.gov.uk/GROTithe/TitheSearch.aspx</w:t>
        </w:r>
      </w:hyperlink>
      <w:r>
        <w:rPr>
          <w:rFonts w:ascii="Arial" w:hAnsi="Arial" w:cs="Arial"/>
        </w:rPr>
        <w:t xml:space="preserve"> on</w:t>
      </w:r>
      <w:r w:rsidRPr="00633A7E">
        <w:rPr>
          <w:rFonts w:ascii="Arial" w:hAnsi="Arial" w:cs="Arial"/>
        </w:rPr>
        <w:t xml:space="preserve"> 10 July 2021)</w:t>
      </w:r>
      <w:r>
        <w:rPr>
          <w:rFonts w:ascii="Arial" w:hAnsi="Arial" w:cs="Arial"/>
        </w:rPr>
        <w:t>, appears to juxtapose the descriptors for plot 491 (clearly ancillary buildings to the north) and plot 492 (Hill House)</w:t>
      </w:r>
      <w:r w:rsidRPr="00633A7E">
        <w:rPr>
          <w:rFonts w:ascii="Arial" w:hAnsi="Arial" w:cs="Arial"/>
        </w:rPr>
        <w:t xml:space="preserve">. This may be a transcription error </w:t>
      </w:r>
      <w:r>
        <w:rPr>
          <w:rFonts w:ascii="Arial" w:hAnsi="Arial" w:cs="Arial"/>
        </w:rPr>
        <w:t>by the compilers of the online version</w:t>
      </w:r>
      <w:r>
        <w:t>.</w:t>
      </w:r>
    </w:p>
  </w:footnote>
  <w:footnote w:id="8">
    <w:p w14:paraId="0AF34246" w14:textId="77777777" w:rsidR="009918E3" w:rsidRPr="009918E3" w:rsidRDefault="009918E3" w:rsidP="009918E3">
      <w:pPr>
        <w:pStyle w:val="FootnoteText"/>
        <w:rPr>
          <w:rFonts w:ascii="Arial" w:hAnsi="Arial" w:cs="Arial"/>
        </w:rPr>
      </w:pPr>
      <w:r w:rsidRPr="009918E3">
        <w:rPr>
          <w:rStyle w:val="FootnoteReference"/>
          <w:rFonts w:ascii="Arial" w:hAnsi="Arial" w:cs="Arial"/>
        </w:rPr>
        <w:footnoteRef/>
      </w:r>
      <w:r w:rsidRPr="009918E3">
        <w:rPr>
          <w:rFonts w:ascii="Arial" w:hAnsi="Arial" w:cs="Arial"/>
        </w:rPr>
        <w:t xml:space="preserve"> GA, D846/II/10.</w:t>
      </w:r>
    </w:p>
  </w:footnote>
  <w:footnote w:id="9">
    <w:p w14:paraId="3142273C" w14:textId="4F82136D" w:rsidR="009918E3" w:rsidRPr="00F00224" w:rsidRDefault="009918E3" w:rsidP="009918E3">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Kingsley, op cit, p214</w:t>
      </w:r>
      <w:r w:rsidR="004B308D">
        <w:rPr>
          <w:rFonts w:ascii="Arial" w:hAnsi="Arial" w:cs="Arial"/>
        </w:rPr>
        <w:t>.</w:t>
      </w:r>
    </w:p>
  </w:footnote>
  <w:footnote w:id="10">
    <w:p w14:paraId="0FECA7C1" w14:textId="714ECCD0" w:rsidR="00E072E9" w:rsidRPr="00E072E9" w:rsidRDefault="00E072E9">
      <w:pPr>
        <w:pStyle w:val="FootnoteText"/>
        <w:rPr>
          <w:rFonts w:ascii="Arial" w:hAnsi="Arial" w:cs="Arial"/>
        </w:rPr>
      </w:pPr>
      <w:r w:rsidRPr="00E072E9">
        <w:rPr>
          <w:rStyle w:val="FootnoteReference"/>
          <w:rFonts w:ascii="Arial" w:hAnsi="Arial" w:cs="Arial"/>
        </w:rPr>
        <w:footnoteRef/>
      </w:r>
      <w:r w:rsidRPr="00E072E9">
        <w:rPr>
          <w:rFonts w:ascii="Arial" w:hAnsi="Arial" w:cs="Arial"/>
        </w:rPr>
        <w:t xml:space="preserve"> Alan Sutton (ed), </w:t>
      </w:r>
      <w:r w:rsidRPr="00E072E9">
        <w:rPr>
          <w:rFonts w:ascii="Arial" w:hAnsi="Arial" w:cs="Arial"/>
          <w:i/>
          <w:iCs/>
        </w:rPr>
        <w:t>The Complete Diary of a Cotswold</w:t>
      </w:r>
      <w:r w:rsidRPr="00E072E9">
        <w:rPr>
          <w:rFonts w:ascii="Arial" w:hAnsi="Arial" w:cs="Arial"/>
        </w:rPr>
        <w:t xml:space="preserve"> </w:t>
      </w:r>
      <w:r w:rsidRPr="00E072E9">
        <w:rPr>
          <w:rFonts w:ascii="Arial" w:hAnsi="Arial" w:cs="Arial"/>
          <w:i/>
          <w:iCs/>
        </w:rPr>
        <w:t>Lady: The Diaries of Agnes Witts 1747-1825: Vol 1 The Lady of Rodborough</w:t>
      </w:r>
      <w:r w:rsidRPr="00E072E9">
        <w:rPr>
          <w:rFonts w:ascii="Arial" w:hAnsi="Arial" w:cs="Arial"/>
        </w:rPr>
        <w:t xml:space="preserve"> (2008),</w:t>
      </w:r>
    </w:p>
  </w:footnote>
  <w:footnote w:id="11">
    <w:p w14:paraId="02C02D91" w14:textId="11BC6C79" w:rsidR="000B3E92" w:rsidRDefault="000B3E92">
      <w:pPr>
        <w:pStyle w:val="FootnoteText"/>
      </w:pPr>
      <w:r>
        <w:rPr>
          <w:rStyle w:val="FootnoteReference"/>
        </w:rPr>
        <w:footnoteRef/>
      </w:r>
      <w:r>
        <w:t xml:space="preserve"> </w:t>
      </w:r>
      <w:r w:rsidRPr="00E71C78">
        <w:rPr>
          <w:rFonts w:ascii="Arial" w:hAnsi="Arial" w:cs="Arial"/>
        </w:rPr>
        <w:t>“Drawing for a Fountain with a Shell Basin Supported by Three Dolphins and Surmounted by a Snake Spouting Water” in the Metropolitan Museum of Art (accession number 63.611.7</w:t>
      </w:r>
      <w:r w:rsidR="00F90FF0">
        <w:rPr>
          <w:rFonts w:ascii="Arial" w:hAnsi="Arial" w:cs="Arial"/>
        </w:rPr>
        <w:t>)</w:t>
      </w:r>
      <w:r w:rsidRPr="00E71C78">
        <w:rPr>
          <w:rFonts w:ascii="Arial" w:hAnsi="Arial" w:cs="Arial"/>
        </w:rPr>
        <w:t xml:space="preserve">, accessed online at </w:t>
      </w:r>
      <w:hyperlink r:id="rId2" w:history="1">
        <w:r w:rsidRPr="00E71C78">
          <w:rPr>
            <w:rStyle w:val="Hyperlink"/>
            <w:rFonts w:ascii="Arial" w:hAnsi="Arial" w:cs="Arial"/>
          </w:rPr>
          <w:t>https://www.metmuseum.org/art/collection/search/386548</w:t>
        </w:r>
      </w:hyperlink>
      <w:r w:rsidRPr="00E71C78">
        <w:rPr>
          <w:rFonts w:ascii="Arial" w:hAnsi="Arial" w:cs="Arial"/>
        </w:rPr>
        <w:t xml:space="preserve">, 28 July 2021. </w:t>
      </w:r>
      <w:r w:rsidR="00416DB1">
        <w:rPr>
          <w:rFonts w:ascii="Arial" w:hAnsi="Arial" w:cs="Arial"/>
        </w:rPr>
        <w:t xml:space="preserve">The watermark dates it to not before 1842. </w:t>
      </w:r>
      <w:r w:rsidRPr="00E71C78">
        <w:rPr>
          <w:rFonts w:ascii="Arial" w:hAnsi="Arial" w:cs="Arial"/>
        </w:rPr>
        <w:t xml:space="preserve">Although catalogued as anonymous, it </w:t>
      </w:r>
      <w:r w:rsidR="00E71C78" w:rsidRPr="00E71C78">
        <w:rPr>
          <w:rFonts w:ascii="Arial" w:hAnsi="Arial" w:cs="Arial"/>
        </w:rPr>
        <w:t xml:space="preserve">is inscribed </w:t>
      </w:r>
      <w:r w:rsidRPr="00E71C78">
        <w:rPr>
          <w:rFonts w:ascii="Arial" w:hAnsi="Arial" w:cs="Arial"/>
        </w:rPr>
        <w:t>“Sir John Paul, Bart” at the bottom.  Sir John [Dean] Paul, an “occasional painter” inherited Rodborough Manor in 1847 and died in 1852. That this was the Rodborough fountain was first suggested by Joh</w:t>
      </w:r>
      <w:r w:rsidR="00E71C78" w:rsidRPr="00E71C78">
        <w:rPr>
          <w:rFonts w:ascii="Arial" w:hAnsi="Arial" w:cs="Arial"/>
        </w:rPr>
        <w:t>n</w:t>
      </w:r>
      <w:r w:rsidRPr="00E71C78">
        <w:rPr>
          <w:rFonts w:ascii="Arial" w:hAnsi="Arial" w:cs="Arial"/>
        </w:rPr>
        <w:t xml:space="preserve"> Harris in </w:t>
      </w:r>
      <w:r w:rsidRPr="00E71C78">
        <w:rPr>
          <w:rFonts w:ascii="Arial" w:hAnsi="Arial" w:cs="Arial"/>
          <w:i/>
          <w:iCs/>
        </w:rPr>
        <w:t>A Catalogue of British Drawings for Architecture 1550-1900 in American Collections</w:t>
      </w:r>
      <w:r w:rsidRPr="00E71C78">
        <w:rPr>
          <w:rFonts w:ascii="Arial" w:hAnsi="Arial" w:cs="Arial"/>
        </w:rPr>
        <w:t xml:space="preserve"> (197</w:t>
      </w:r>
      <w:r w:rsidR="00E71C78" w:rsidRPr="00E71C78">
        <w:rPr>
          <w:rFonts w:ascii="Arial" w:hAnsi="Arial" w:cs="Arial"/>
        </w:rPr>
        <w:t>1</w:t>
      </w:r>
      <w:r w:rsidRPr="00E71C78">
        <w:rPr>
          <w:rFonts w:ascii="Arial" w:hAnsi="Arial" w:cs="Arial"/>
        </w:rPr>
        <w:t>).</w:t>
      </w:r>
    </w:p>
  </w:footnote>
  <w:footnote w:id="12">
    <w:p w14:paraId="22F03DE6" w14:textId="77777777" w:rsidR="006C1117" w:rsidRDefault="006C1117" w:rsidP="006C1117">
      <w:pPr>
        <w:pStyle w:val="FootnoteText"/>
      </w:pPr>
      <w:r>
        <w:rPr>
          <w:rStyle w:val="FootnoteReference"/>
        </w:rPr>
        <w:footnoteRef/>
      </w:r>
      <w:r>
        <w:t xml:space="preserve"> </w:t>
      </w:r>
      <w:r w:rsidRPr="00EA6E84">
        <w:rPr>
          <w:rFonts w:ascii="Arial" w:hAnsi="Arial" w:cs="Arial"/>
        </w:rPr>
        <w:t>Comparison of 1924 and 1950 editions of OS 6” map XLIX NE (reflecting revisions of 1921-22 and 1938 respectively)</w:t>
      </w:r>
      <w:r>
        <w:rPr>
          <w:rFonts w:ascii="Arial" w:hAnsi="Arial" w:cs="Arial"/>
        </w:rPr>
        <w:t>,</w:t>
      </w:r>
      <w:r w:rsidRPr="00EA6E84">
        <w:rPr>
          <w:rFonts w:ascii="Arial" w:hAnsi="Arial" w:cs="Arial"/>
        </w:rPr>
        <w:t xml:space="preserve"> </w:t>
      </w:r>
      <w:hyperlink r:id="rId3" w:history="1">
        <w:r w:rsidRPr="00EA6E84">
          <w:rPr>
            <w:rStyle w:val="Hyperlink"/>
            <w:rFonts w:ascii="Arial" w:hAnsi="Arial" w:cs="Arial"/>
          </w:rPr>
          <w:t>https://maps.nls.uk/os/6inch-england-and-wales/index.html</w:t>
        </w:r>
      </w:hyperlink>
      <w:r w:rsidRPr="00EA6E84">
        <w:rPr>
          <w:rFonts w:ascii="Arial" w:hAnsi="Arial" w:cs="Arial"/>
        </w:rPr>
        <w:t xml:space="preserve"> (accessed on 12 July 2021)</w:t>
      </w:r>
      <w:r>
        <w:t>.</w:t>
      </w:r>
    </w:p>
  </w:footnote>
  <w:footnote w:id="13">
    <w:p w14:paraId="41A5F158" w14:textId="5652C966" w:rsidR="006C1117" w:rsidRPr="001A2C8C" w:rsidRDefault="006C1117">
      <w:pPr>
        <w:pStyle w:val="FootnoteText"/>
        <w:rPr>
          <w:rFonts w:ascii="Arial" w:hAnsi="Arial" w:cs="Arial"/>
        </w:rPr>
      </w:pPr>
      <w:r w:rsidRPr="001A2C8C">
        <w:rPr>
          <w:rStyle w:val="FootnoteReference"/>
          <w:rFonts w:ascii="Arial" w:hAnsi="Arial" w:cs="Arial"/>
        </w:rPr>
        <w:footnoteRef/>
      </w:r>
      <w:r w:rsidRPr="001A2C8C">
        <w:rPr>
          <w:rFonts w:ascii="Arial" w:hAnsi="Arial" w:cs="Arial"/>
        </w:rPr>
        <w:t xml:space="preserve"> </w:t>
      </w:r>
      <w:r w:rsidR="001A2C8C" w:rsidRPr="001A2C8C">
        <w:rPr>
          <w:rFonts w:ascii="Arial" w:hAnsi="Arial" w:cs="Arial"/>
        </w:rPr>
        <w:t>Immediately to the south of the stable block is</w:t>
      </w:r>
      <w:r w:rsidRPr="001A2C8C">
        <w:rPr>
          <w:rFonts w:ascii="Arial" w:hAnsi="Arial" w:cs="Arial"/>
        </w:rPr>
        <w:t xml:space="preserve"> a stone alcove semi-circular in both elevation and plan</w:t>
      </w:r>
      <w:r w:rsidR="001A2C8C" w:rsidRPr="001A2C8C">
        <w:rPr>
          <w:rFonts w:ascii="Arial" w:hAnsi="Arial" w:cs="Arial"/>
        </w:rPr>
        <w:t xml:space="preserve"> covering a</w:t>
      </w:r>
      <w:r w:rsidRPr="001A2C8C">
        <w:rPr>
          <w:rFonts w:ascii="Arial" w:hAnsi="Arial" w:cs="Arial"/>
        </w:rPr>
        <w:t xml:space="preserve"> stone-lined ice well, 20+ feet deep, reportedly filled in by the previous owner</w:t>
      </w:r>
      <w:r w:rsidR="001A2C8C" w:rsidRPr="001A2C8C">
        <w:rPr>
          <w:rFonts w:ascii="Arial" w:hAnsi="Arial" w:cs="Arial"/>
        </w:rPr>
        <w:t xml:space="preserve"> (</w:t>
      </w:r>
      <w:r w:rsidRPr="001A2C8C">
        <w:rPr>
          <w:rFonts w:ascii="Arial" w:hAnsi="Arial" w:cs="Arial"/>
        </w:rPr>
        <w:t>although a stone cover sounds hollow</w:t>
      </w:r>
      <w:r w:rsidR="001A2C8C" w:rsidRPr="001A2C8C">
        <w:rPr>
          <w:rFonts w:ascii="Arial" w:hAnsi="Arial" w:cs="Arial"/>
        </w:rPr>
        <w:t>).  It has been suggested that this was the ice house but if the 1855 particulars are correct, it is not in the right position and may have simply been a water well serving the stable block.</w:t>
      </w:r>
    </w:p>
  </w:footnote>
  <w:footnote w:id="14">
    <w:p w14:paraId="41472327" w14:textId="05B0FB80" w:rsidR="00DE58AF" w:rsidRPr="00F00224" w:rsidRDefault="00DE58AF">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w:t>
      </w:r>
      <w:r w:rsidR="00F00224" w:rsidRPr="00F00224">
        <w:rPr>
          <w:rFonts w:ascii="Arial" w:hAnsi="Arial" w:cs="Arial"/>
        </w:rPr>
        <w:t>Medieval features include the fishpond and a “cohesive field system” with curvilinear and linear lynchets, strip lynchets, cultivation terraces and blocks of ridge and furrow cultivation “visible as earthworks on historic aerial photographs and remote sensing data” (</w:t>
      </w:r>
      <w:r w:rsidRPr="00F00224">
        <w:rPr>
          <w:rFonts w:ascii="Arial" w:hAnsi="Arial" w:cs="Arial"/>
        </w:rPr>
        <w:t>Glo</w:t>
      </w:r>
      <w:r w:rsidR="00F00224" w:rsidRPr="00F00224">
        <w:rPr>
          <w:rFonts w:ascii="Arial" w:hAnsi="Arial" w:cs="Arial"/>
        </w:rPr>
        <w:t>ucestershire</w:t>
      </w:r>
      <w:r w:rsidRPr="00F00224">
        <w:rPr>
          <w:rFonts w:ascii="Arial" w:hAnsi="Arial" w:cs="Arial"/>
        </w:rPr>
        <w:t xml:space="preserve"> Historic Environmental Record entr</w:t>
      </w:r>
      <w:r w:rsidR="004B308D">
        <w:rPr>
          <w:rFonts w:ascii="Arial" w:hAnsi="Arial" w:cs="Arial"/>
        </w:rPr>
        <w:t xml:space="preserve">y </w:t>
      </w:r>
      <w:r w:rsidRPr="00F00224">
        <w:rPr>
          <w:rFonts w:ascii="Arial" w:hAnsi="Arial" w:cs="Arial"/>
        </w:rPr>
        <w:t xml:space="preserve">on Know Your Place </w:t>
      </w:r>
      <w:r w:rsidR="00F00224" w:rsidRPr="00F00224">
        <w:rPr>
          <w:rFonts w:ascii="Arial" w:hAnsi="Arial" w:cs="Arial"/>
        </w:rPr>
        <w:t xml:space="preserve">website </w:t>
      </w:r>
      <w:r w:rsidRPr="00F00224">
        <w:rPr>
          <w:rFonts w:ascii="Arial" w:hAnsi="Arial" w:cs="Arial"/>
        </w:rPr>
        <w:t>(</w:t>
      </w:r>
      <w:hyperlink r:id="rId4" w:history="1">
        <w:r w:rsidRPr="00F00224">
          <w:rPr>
            <w:rStyle w:val="Hyperlink"/>
            <w:rFonts w:ascii="Arial" w:hAnsi="Arial" w:cs="Arial"/>
          </w:rPr>
          <w:t>https://maps.bristol.gov.uk/kyp/?edition=glos</w:t>
        </w:r>
      </w:hyperlink>
      <w:r w:rsidRPr="00F00224">
        <w:rPr>
          <w:rFonts w:ascii="Arial" w:hAnsi="Arial" w:cs="Arial"/>
        </w:rPr>
        <w:t>, accessed 11 July 2021)</w:t>
      </w:r>
      <w:r w:rsidR="004B308D">
        <w:rPr>
          <w:rFonts w:ascii="Arial" w:hAnsi="Arial" w:cs="Arial"/>
        </w:rPr>
        <w:t>.</w:t>
      </w:r>
    </w:p>
  </w:footnote>
  <w:footnote w:id="15">
    <w:p w14:paraId="34C4D637" w14:textId="71AD21D5" w:rsidR="00314DC5" w:rsidRPr="00F00224" w:rsidRDefault="00314DC5">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GA</w:t>
      </w:r>
      <w:r w:rsidR="00272978">
        <w:rPr>
          <w:rFonts w:ascii="Arial" w:hAnsi="Arial" w:cs="Arial"/>
        </w:rPr>
        <w:t>,</w:t>
      </w:r>
      <w:r w:rsidRPr="00F00224">
        <w:rPr>
          <w:rFonts w:ascii="Arial" w:hAnsi="Arial" w:cs="Arial"/>
        </w:rPr>
        <w:t xml:space="preserve"> Q</w:t>
      </w:r>
      <w:r w:rsidR="00D71239" w:rsidRPr="00F00224">
        <w:rPr>
          <w:rFonts w:ascii="Arial" w:hAnsi="Arial" w:cs="Arial"/>
        </w:rPr>
        <w:t>/SRh/1788/C/1 and Q/SRh/1788/C/2</w:t>
      </w:r>
      <w:r w:rsidR="004B308D">
        <w:rPr>
          <w:rFonts w:ascii="Arial" w:hAnsi="Arial" w:cs="Arial"/>
        </w:rPr>
        <w:t>.</w:t>
      </w:r>
    </w:p>
  </w:footnote>
  <w:footnote w:id="16">
    <w:p w14:paraId="3C4F58BE" w14:textId="19F7DB66" w:rsidR="009918E3" w:rsidRPr="009918E3" w:rsidRDefault="009918E3">
      <w:pPr>
        <w:pStyle w:val="FootnoteText"/>
        <w:rPr>
          <w:rFonts w:ascii="Arial" w:hAnsi="Arial" w:cs="Arial"/>
        </w:rPr>
      </w:pPr>
      <w:r w:rsidRPr="009918E3">
        <w:rPr>
          <w:rStyle w:val="FootnoteReference"/>
          <w:rFonts w:ascii="Arial" w:hAnsi="Arial" w:cs="Arial"/>
        </w:rPr>
        <w:footnoteRef/>
      </w:r>
      <w:r w:rsidRPr="009918E3">
        <w:rPr>
          <w:rFonts w:ascii="Arial" w:hAnsi="Arial" w:cs="Arial"/>
        </w:rPr>
        <w:t xml:space="preserve"> GA, D846/II/10</w:t>
      </w:r>
      <w:r w:rsidR="004B308D">
        <w:rPr>
          <w:rFonts w:ascii="Arial" w:hAnsi="Arial" w:cs="Arial"/>
        </w:rPr>
        <w:t>.</w:t>
      </w:r>
      <w:r w:rsidRPr="009918E3">
        <w:rPr>
          <w:rFonts w:ascii="Arial" w:hAnsi="Arial" w:cs="Arial"/>
        </w:rPr>
        <w:t>.</w:t>
      </w:r>
    </w:p>
  </w:footnote>
  <w:footnote w:id="17">
    <w:p w14:paraId="467F49A9" w14:textId="068D672A" w:rsidR="007B7181" w:rsidRPr="0095420A" w:rsidRDefault="007B7181" w:rsidP="007B7181">
      <w:pPr>
        <w:pStyle w:val="FootnoteText"/>
        <w:rPr>
          <w:rFonts w:ascii="Arial" w:hAnsi="Arial" w:cs="Arial"/>
        </w:rPr>
      </w:pPr>
      <w:r w:rsidRPr="0095420A">
        <w:rPr>
          <w:rStyle w:val="FootnoteReference"/>
          <w:rFonts w:ascii="Arial" w:hAnsi="Arial" w:cs="Arial"/>
        </w:rPr>
        <w:footnoteRef/>
      </w:r>
      <w:r w:rsidRPr="0095420A">
        <w:rPr>
          <w:rFonts w:ascii="Arial" w:hAnsi="Arial" w:cs="Arial"/>
        </w:rPr>
        <w:t xml:space="preserve"> Oliver Bradbury(?) asserts in </w:t>
      </w:r>
      <w:r w:rsidRPr="0095420A">
        <w:rPr>
          <w:rFonts w:ascii="Arial" w:hAnsi="Arial" w:cs="Arial"/>
          <w:i/>
          <w:iCs/>
        </w:rPr>
        <w:t xml:space="preserve">The Follies of Stroud </w:t>
      </w:r>
      <w:r w:rsidRPr="0095420A">
        <w:rPr>
          <w:rFonts w:ascii="Arial" w:hAnsi="Arial" w:cs="Arial"/>
        </w:rPr>
        <w:t xml:space="preserve">(Folly Fellowship e-bulletin 37, April 2011, </w:t>
      </w:r>
      <w:hyperlink r:id="rId5" w:history="1">
        <w:r w:rsidRPr="0095420A">
          <w:rPr>
            <w:rStyle w:val="Hyperlink"/>
            <w:rFonts w:ascii="Arial" w:hAnsi="Arial" w:cs="Arial"/>
          </w:rPr>
          <w:t>http://www.follies.org.uk/pdf/Foll-e%2037%20-%20Stroud.pdf</w:t>
        </w:r>
      </w:hyperlink>
      <w:r w:rsidRPr="0095420A">
        <w:rPr>
          <w:rFonts w:ascii="Arial" w:hAnsi="Arial" w:cs="Arial"/>
        </w:rPr>
        <w:t xml:space="preserve">, accessed </w:t>
      </w:r>
      <w:r>
        <w:rPr>
          <w:rFonts w:ascii="Arial" w:hAnsi="Arial" w:cs="Arial"/>
        </w:rPr>
        <w:t>1</w:t>
      </w:r>
      <w:r w:rsidRPr="0095420A">
        <w:rPr>
          <w:rFonts w:ascii="Arial" w:hAnsi="Arial" w:cs="Arial"/>
        </w:rPr>
        <w:t xml:space="preserve">2 July 2021) that Sir G Paul built </w:t>
      </w:r>
      <w:r>
        <w:rPr>
          <w:rFonts w:ascii="Arial" w:hAnsi="Arial" w:cs="Arial"/>
        </w:rPr>
        <w:t>it</w:t>
      </w:r>
      <w:r w:rsidRPr="0095420A">
        <w:rPr>
          <w:rFonts w:ascii="Arial" w:hAnsi="Arial" w:cs="Arial"/>
        </w:rPr>
        <w:t xml:space="preserve"> “with the help of his architect Anthony Teck [sic]” but </w:t>
      </w:r>
      <w:r>
        <w:rPr>
          <w:rFonts w:ascii="Arial" w:hAnsi="Arial" w:cs="Arial"/>
        </w:rPr>
        <w:t>I have found</w:t>
      </w:r>
      <w:r w:rsidRPr="0095420A">
        <w:rPr>
          <w:rFonts w:ascii="Arial" w:hAnsi="Arial" w:cs="Arial"/>
        </w:rPr>
        <w:t xml:space="preserve"> no evidence to support </w:t>
      </w:r>
      <w:r w:rsidR="000C5647">
        <w:rPr>
          <w:rFonts w:ascii="Arial" w:hAnsi="Arial" w:cs="Arial"/>
        </w:rPr>
        <w:t>Keck’s involvement</w:t>
      </w:r>
      <w:r w:rsidRPr="0095420A">
        <w:rPr>
          <w:rFonts w:ascii="Arial" w:hAnsi="Arial" w:cs="Arial"/>
        </w:rPr>
        <w:t>.</w:t>
      </w:r>
      <w:r>
        <w:rPr>
          <w:rFonts w:ascii="Arial" w:hAnsi="Arial" w:cs="Arial"/>
        </w:rPr>
        <w:t xml:space="preserve"> </w:t>
      </w:r>
      <w:r w:rsidR="00E71C78">
        <w:rPr>
          <w:rFonts w:ascii="Arial" w:hAnsi="Arial" w:cs="Arial"/>
        </w:rPr>
        <w:t>Nicholas Kingsley, in a two part article primarily</w:t>
      </w:r>
      <w:r w:rsidR="0099088C">
        <w:rPr>
          <w:rFonts w:ascii="Arial" w:hAnsi="Arial" w:cs="Arial"/>
        </w:rPr>
        <w:t xml:space="preserve"> focused</w:t>
      </w:r>
      <w:r w:rsidR="00E71C78">
        <w:rPr>
          <w:rFonts w:ascii="Arial" w:hAnsi="Arial" w:cs="Arial"/>
        </w:rPr>
        <w:t xml:space="preserve"> on Keck</w:t>
      </w:r>
      <w:r w:rsidR="0099088C">
        <w:rPr>
          <w:rFonts w:ascii="Arial" w:hAnsi="Arial" w:cs="Arial"/>
        </w:rPr>
        <w:t>’s villas</w:t>
      </w:r>
      <w:r w:rsidR="00E71C78">
        <w:rPr>
          <w:rFonts w:ascii="Arial" w:hAnsi="Arial" w:cs="Arial"/>
        </w:rPr>
        <w:t>, asserts that he “is never known to have experimented with the Gothick style” (</w:t>
      </w:r>
      <w:r w:rsidR="00E71C78" w:rsidRPr="00E71C78">
        <w:rPr>
          <w:rFonts w:ascii="Arial" w:hAnsi="Arial" w:cs="Arial"/>
          <w:i/>
          <w:iCs/>
        </w:rPr>
        <w:t>The Work of Anthony Keck II</w:t>
      </w:r>
      <w:r w:rsidR="00E71C78">
        <w:rPr>
          <w:rFonts w:ascii="Arial" w:hAnsi="Arial" w:cs="Arial"/>
        </w:rPr>
        <w:t>, Country Life, 27 October 1988</w:t>
      </w:r>
      <w:r w:rsidR="0099088C">
        <w:rPr>
          <w:rFonts w:ascii="Arial" w:hAnsi="Arial" w:cs="Arial"/>
        </w:rPr>
        <w:t xml:space="preserve">, p.138) </w:t>
      </w:r>
      <w:r>
        <w:rPr>
          <w:rFonts w:ascii="Arial" w:hAnsi="Arial" w:cs="Arial"/>
        </w:rPr>
        <w:t>The Gateway is also mentioned in</w:t>
      </w:r>
      <w:r w:rsidRPr="0095420A">
        <w:rPr>
          <w:rFonts w:ascii="Arial" w:hAnsi="Arial" w:cs="Arial"/>
        </w:rPr>
        <w:t xml:space="preserve"> </w:t>
      </w:r>
      <w:r w:rsidRPr="00F00224">
        <w:rPr>
          <w:rFonts w:ascii="Arial" w:hAnsi="Arial" w:cs="Arial"/>
        </w:rPr>
        <w:t xml:space="preserve">Barbara Jones, </w:t>
      </w:r>
      <w:r w:rsidRPr="00F00224">
        <w:rPr>
          <w:rFonts w:ascii="Arial" w:hAnsi="Arial" w:cs="Arial"/>
          <w:i/>
          <w:iCs/>
        </w:rPr>
        <w:t xml:space="preserve">Follies and Grottoes </w:t>
      </w:r>
      <w:r w:rsidRPr="00F00224">
        <w:rPr>
          <w:rFonts w:ascii="Arial" w:hAnsi="Arial" w:cs="Arial"/>
        </w:rPr>
        <w:t xml:space="preserve">(second edition, 1974) and Jeremy Portch, </w:t>
      </w:r>
      <w:r w:rsidRPr="00F00224">
        <w:rPr>
          <w:rFonts w:ascii="Arial" w:hAnsi="Arial" w:cs="Arial"/>
          <w:i/>
          <w:iCs/>
        </w:rPr>
        <w:t xml:space="preserve">Follies of the Cotswolds </w:t>
      </w:r>
      <w:r w:rsidRPr="00F00224">
        <w:rPr>
          <w:rFonts w:ascii="Arial" w:hAnsi="Arial" w:cs="Arial"/>
        </w:rPr>
        <w:t>(Cotswold Life, December 1983).</w:t>
      </w:r>
    </w:p>
  </w:footnote>
  <w:footnote w:id="18">
    <w:p w14:paraId="4382D722" w14:textId="3AABBCB0" w:rsidR="0099088C" w:rsidRPr="0099088C" w:rsidRDefault="0099088C">
      <w:pPr>
        <w:pStyle w:val="FootnoteText"/>
        <w:rPr>
          <w:rFonts w:ascii="Arial" w:hAnsi="Arial" w:cs="Arial"/>
        </w:rPr>
      </w:pPr>
      <w:r w:rsidRPr="0099088C">
        <w:rPr>
          <w:rStyle w:val="FootnoteReference"/>
          <w:rFonts w:ascii="Arial" w:hAnsi="Arial" w:cs="Arial"/>
        </w:rPr>
        <w:footnoteRef/>
      </w:r>
      <w:r w:rsidRPr="0099088C">
        <w:rPr>
          <w:rFonts w:ascii="Arial" w:hAnsi="Arial" w:cs="Arial"/>
        </w:rPr>
        <w:t xml:space="preserve"> At least by 1948 when E Lee Godrrey’s widow was living in the house (GA, Stroud Constituency Electoral Register, accessed via </w:t>
      </w:r>
      <w:hyperlink r:id="rId6" w:history="1">
        <w:r w:rsidRPr="0099088C">
          <w:rPr>
            <w:rStyle w:val="Hyperlink"/>
            <w:rFonts w:ascii="Arial" w:hAnsi="Arial" w:cs="Arial"/>
          </w:rPr>
          <w:t>www.ancestry.co.uk</w:t>
        </w:r>
      </w:hyperlink>
      <w:r w:rsidRPr="0099088C">
        <w:rPr>
          <w:rFonts w:ascii="Arial" w:hAnsi="Arial" w:cs="Arial"/>
        </w:rPr>
        <w:t>, 23 July 2021.</w:t>
      </w:r>
      <w:r w:rsidR="0037364B">
        <w:rPr>
          <w:rFonts w:ascii="Arial" w:hAnsi="Arial" w:cs="Arial"/>
        </w:rPr>
        <w:t xml:space="preserve"> According to Jones op.cit. crenellations to the towers were also filled in as part of the conversion.</w:t>
      </w:r>
    </w:p>
  </w:footnote>
  <w:footnote w:id="19">
    <w:p w14:paraId="1C39B65B" w14:textId="746915E1" w:rsidR="007B7181" w:rsidRPr="00F00224" w:rsidRDefault="007B7181" w:rsidP="007B7181">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w:t>
      </w:r>
      <w:bookmarkStart w:id="0" w:name="_Hlk78435728"/>
      <w:r w:rsidRPr="00F00224">
        <w:rPr>
          <w:rFonts w:ascii="Arial" w:hAnsi="Arial" w:cs="Arial"/>
        </w:rPr>
        <w:t xml:space="preserve">Alan Sutton (ed), </w:t>
      </w:r>
      <w:r w:rsidR="00E072E9">
        <w:rPr>
          <w:rFonts w:ascii="Arial" w:hAnsi="Arial" w:cs="Arial"/>
        </w:rPr>
        <w:t>op cit</w:t>
      </w:r>
      <w:r w:rsidRPr="00F00224">
        <w:rPr>
          <w:rFonts w:ascii="Arial" w:hAnsi="Arial" w:cs="Arial"/>
          <w:i/>
          <w:iCs/>
        </w:rPr>
        <w:t xml:space="preserve">The Complete Diary of a Cotswold Lady: The Diaries of Agnes Witts 1747-1825: Vol 1 The Lady of Rodborough </w:t>
      </w:r>
      <w:r w:rsidRPr="00F00224">
        <w:rPr>
          <w:rFonts w:ascii="Arial" w:hAnsi="Arial" w:cs="Arial"/>
        </w:rPr>
        <w:t xml:space="preserve">(2008), </w:t>
      </w:r>
      <w:bookmarkEnd w:id="0"/>
      <w:r w:rsidRPr="00F00224">
        <w:rPr>
          <w:rFonts w:ascii="Arial" w:hAnsi="Arial" w:cs="Arial"/>
        </w:rPr>
        <w:t>p.261.</w:t>
      </w:r>
    </w:p>
  </w:footnote>
  <w:footnote w:id="20">
    <w:p w14:paraId="6D15925A" w14:textId="7EF5E57B" w:rsidR="007B7181" w:rsidRPr="0095420A" w:rsidRDefault="007B7181" w:rsidP="007B7181">
      <w:pPr>
        <w:pStyle w:val="FootnoteText"/>
        <w:rPr>
          <w:rFonts w:ascii="Arial" w:hAnsi="Arial" w:cs="Arial"/>
        </w:rPr>
      </w:pPr>
      <w:r w:rsidRPr="0095420A">
        <w:rPr>
          <w:rStyle w:val="FootnoteReference"/>
          <w:rFonts w:ascii="Arial" w:hAnsi="Arial" w:cs="Arial"/>
        </w:rPr>
        <w:footnoteRef/>
      </w:r>
      <w:r w:rsidRPr="0095420A">
        <w:rPr>
          <w:rFonts w:ascii="Arial" w:hAnsi="Arial" w:cs="Arial"/>
        </w:rPr>
        <w:t xml:space="preserve"> </w:t>
      </w:r>
      <w:r>
        <w:rPr>
          <w:rFonts w:ascii="Arial" w:hAnsi="Arial" w:cs="Arial"/>
        </w:rPr>
        <w:t>The text of the l</w:t>
      </w:r>
      <w:r w:rsidRPr="0095420A">
        <w:rPr>
          <w:rFonts w:ascii="Arial" w:hAnsi="Arial" w:cs="Arial"/>
        </w:rPr>
        <w:t>isting is</w:t>
      </w:r>
      <w:r>
        <w:rPr>
          <w:rFonts w:ascii="Arial" w:hAnsi="Arial" w:cs="Arial"/>
        </w:rPr>
        <w:t xml:space="preserve"> a</w:t>
      </w:r>
      <w:r w:rsidRPr="0095420A">
        <w:rPr>
          <w:rFonts w:ascii="Arial" w:hAnsi="Arial" w:cs="Arial"/>
        </w:rPr>
        <w:t>t Annex A</w:t>
      </w:r>
      <w:r>
        <w:rPr>
          <w:rFonts w:ascii="Arial" w:hAnsi="Arial" w:cs="Arial"/>
        </w:rPr>
        <w:t xml:space="preserve"> to this report</w:t>
      </w:r>
      <w:r w:rsidR="000C5647">
        <w:rPr>
          <w:rFonts w:ascii="Arial" w:hAnsi="Arial" w:cs="Arial"/>
        </w:rPr>
        <w:t>.</w:t>
      </w:r>
    </w:p>
  </w:footnote>
  <w:footnote w:id="21">
    <w:p w14:paraId="17B49E24" w14:textId="6901661F" w:rsidR="0095420A" w:rsidRPr="009918E3" w:rsidRDefault="0095420A">
      <w:pPr>
        <w:pStyle w:val="FootnoteText"/>
        <w:rPr>
          <w:rFonts w:ascii="Arial" w:hAnsi="Arial" w:cs="Arial"/>
        </w:rPr>
      </w:pPr>
      <w:r w:rsidRPr="009918E3">
        <w:rPr>
          <w:rStyle w:val="FootnoteReference"/>
          <w:rFonts w:ascii="Arial" w:hAnsi="Arial" w:cs="Arial"/>
        </w:rPr>
        <w:footnoteRef/>
      </w:r>
      <w:r w:rsidRPr="009918E3">
        <w:rPr>
          <w:rFonts w:ascii="Arial" w:hAnsi="Arial" w:cs="Arial"/>
        </w:rPr>
        <w:t xml:space="preserve"> GA, D846/II/10.</w:t>
      </w:r>
    </w:p>
  </w:footnote>
  <w:footnote w:id="22">
    <w:p w14:paraId="6D7FE083" w14:textId="25689F7D" w:rsidR="008C504B" w:rsidRPr="00F00224" w:rsidRDefault="008C504B" w:rsidP="008C504B">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Planning permission granted by Gloucestershire County Council, 9 September 1959 (site ref S.3985, (</w:t>
      </w:r>
      <w:hyperlink r:id="rId7" w:anchor="search=%223985%22" w:history="1">
        <w:r w:rsidRPr="00F00224">
          <w:rPr>
            <w:rStyle w:val="Hyperlink"/>
            <w:rFonts w:ascii="Arial" w:hAnsi="Arial" w:cs="Arial"/>
          </w:rPr>
          <w:t>https://www.stroud.gov.uk/apps/dcr/3001-4000/3981-3990.pdf#search=%223985%22</w:t>
        </w:r>
      </w:hyperlink>
      <w:r w:rsidRPr="00F00224">
        <w:rPr>
          <w:rFonts w:ascii="Arial" w:hAnsi="Arial" w:cs="Arial"/>
        </w:rPr>
        <w:t>, accessed 10 July 2021)</w:t>
      </w:r>
      <w:r w:rsidR="00262385">
        <w:rPr>
          <w:rFonts w:ascii="Arial" w:hAnsi="Arial" w:cs="Arial"/>
        </w:rPr>
        <w:t xml:space="preserve"> following sale of the site</w:t>
      </w:r>
      <w:r w:rsidR="004B308D">
        <w:rPr>
          <w:rFonts w:ascii="Arial" w:hAnsi="Arial" w:cs="Arial"/>
        </w:rPr>
        <w:t>.</w:t>
      </w:r>
      <w:r w:rsidR="00262385">
        <w:rPr>
          <w:rFonts w:ascii="Arial" w:hAnsi="Arial" w:cs="Arial"/>
        </w:rPr>
        <w:t xml:space="preserve"> Prior to the sale, a wooden house known as The Cubby stood on the site (date of construction unknown).</w:t>
      </w:r>
    </w:p>
  </w:footnote>
  <w:footnote w:id="23">
    <w:p w14:paraId="15DE1E30" w14:textId="772DB533" w:rsidR="007670F0" w:rsidRPr="00F00224" w:rsidRDefault="007670F0">
      <w:pPr>
        <w:pStyle w:val="FootnoteText"/>
        <w:rPr>
          <w:rFonts w:ascii="Arial" w:hAnsi="Arial" w:cs="Arial"/>
        </w:rPr>
      </w:pPr>
      <w:r w:rsidRPr="00F00224">
        <w:rPr>
          <w:rStyle w:val="FootnoteReference"/>
          <w:rFonts w:ascii="Arial" w:hAnsi="Arial" w:cs="Arial"/>
        </w:rPr>
        <w:footnoteRef/>
      </w:r>
      <w:r w:rsidRPr="00F00224">
        <w:rPr>
          <w:rFonts w:ascii="Arial" w:hAnsi="Arial" w:cs="Arial"/>
        </w:rPr>
        <w:t xml:space="preserve"> An application to convert this section to bridleway was however turned down by </w:t>
      </w:r>
      <w:r w:rsidR="00694CD7" w:rsidRPr="00F00224">
        <w:rPr>
          <w:rFonts w:ascii="Arial" w:hAnsi="Arial" w:cs="Arial"/>
        </w:rPr>
        <w:t>Gloucestershire County Council in 2016 (</w:t>
      </w:r>
      <w:hyperlink r:id="rId8" w:history="1">
        <w:r w:rsidR="00694CD7" w:rsidRPr="00F00224">
          <w:rPr>
            <w:rStyle w:val="Hyperlink"/>
            <w:rFonts w:ascii="Arial" w:hAnsi="Arial" w:cs="Arial"/>
          </w:rPr>
          <w:t>https://glostext.gloucestershire.gov.uk/documents/s28337/Report%20and%20Appendices%20A-E.pdf</w:t>
        </w:r>
      </w:hyperlink>
      <w:r w:rsidR="00694CD7" w:rsidRPr="00F00224">
        <w:rPr>
          <w:rFonts w:ascii="Arial" w:hAnsi="Arial" w:cs="Arial"/>
        </w:rPr>
        <w:t>, accessed 10 July 2021). By inference from these papers, the</w:t>
      </w:r>
      <w:r w:rsidR="00B664BB" w:rsidRPr="00F00224">
        <w:rPr>
          <w:rFonts w:ascii="Arial" w:hAnsi="Arial" w:cs="Arial"/>
        </w:rPr>
        <w:t xml:space="preserve"> entirety of the</w:t>
      </w:r>
      <w:r w:rsidR="00694CD7" w:rsidRPr="00F00224">
        <w:rPr>
          <w:rFonts w:ascii="Arial" w:hAnsi="Arial" w:cs="Arial"/>
        </w:rPr>
        <w:t xml:space="preserve"> walk</w:t>
      </w:r>
      <w:r w:rsidR="00B664BB" w:rsidRPr="00F00224">
        <w:rPr>
          <w:rFonts w:ascii="Arial" w:hAnsi="Arial" w:cs="Arial"/>
        </w:rPr>
        <w:t xml:space="preserve"> (including the sections absorbed in bridleway MMH1182)</w:t>
      </w:r>
      <w:r w:rsidR="00694CD7" w:rsidRPr="00F00224">
        <w:rPr>
          <w:rFonts w:ascii="Arial" w:hAnsi="Arial" w:cs="Arial"/>
        </w:rPr>
        <w:t xml:space="preserve"> </w:t>
      </w:r>
      <w:r w:rsidR="00B664BB" w:rsidRPr="00F00224">
        <w:rPr>
          <w:rFonts w:ascii="Arial" w:hAnsi="Arial" w:cs="Arial"/>
        </w:rPr>
        <w:t xml:space="preserve">not within current domestic curtilages </w:t>
      </w:r>
      <w:r w:rsidR="00694CD7" w:rsidRPr="00F00224">
        <w:rPr>
          <w:rFonts w:ascii="Arial" w:hAnsi="Arial" w:cs="Arial"/>
        </w:rPr>
        <w:t xml:space="preserve">is owned by a </w:t>
      </w:r>
      <w:r w:rsidR="00113DE4">
        <w:rPr>
          <w:rFonts w:ascii="Arial" w:hAnsi="Arial" w:cs="Arial"/>
        </w:rPr>
        <w:t>single</w:t>
      </w:r>
      <w:r w:rsidR="00694CD7" w:rsidRPr="00F00224">
        <w:rPr>
          <w:rFonts w:ascii="Arial" w:hAnsi="Arial" w:cs="Arial"/>
        </w:rPr>
        <w:t xml:space="preserve"> farmer: the </w:t>
      </w:r>
      <w:r w:rsidR="00B664BB" w:rsidRPr="00F00224">
        <w:rPr>
          <w:rFonts w:ascii="Arial" w:hAnsi="Arial" w:cs="Arial"/>
        </w:rPr>
        <w:t xml:space="preserve">only </w:t>
      </w:r>
      <w:r w:rsidR="00694CD7" w:rsidRPr="00F00224">
        <w:rPr>
          <w:rFonts w:ascii="Arial" w:hAnsi="Arial" w:cs="Arial"/>
        </w:rPr>
        <w:t>other named landowner is the National Trust,</w:t>
      </w:r>
      <w:r w:rsidR="00B664BB" w:rsidRPr="00F00224">
        <w:rPr>
          <w:rFonts w:ascii="Arial" w:hAnsi="Arial" w:cs="Arial"/>
        </w:rPr>
        <w:t xml:space="preserve"> whose landholdings (as mapped in Charles Parry,</w:t>
      </w:r>
      <w:r w:rsidR="00B664BB" w:rsidRPr="00F00224">
        <w:rPr>
          <w:rFonts w:ascii="Arial" w:hAnsi="Arial" w:cs="Arial"/>
          <w:i/>
          <w:iCs/>
        </w:rPr>
        <w:t xml:space="preserve">The National Trust Archaeological Survey: Rodborough Common, Gloucestershire </w:t>
      </w:r>
      <w:r w:rsidR="00B664BB" w:rsidRPr="00F00224">
        <w:rPr>
          <w:rFonts w:ascii="Arial" w:hAnsi="Arial" w:cs="Arial"/>
        </w:rPr>
        <w:t xml:space="preserve">(Version 3, November 1992; copy held by this writer) </w:t>
      </w:r>
      <w:r w:rsidR="00F00224">
        <w:rPr>
          <w:rFonts w:ascii="Arial" w:hAnsi="Arial" w:cs="Arial"/>
        </w:rPr>
        <w:t>i</w:t>
      </w:r>
      <w:r w:rsidR="00B664BB" w:rsidRPr="00F00224">
        <w:rPr>
          <w:rFonts w:ascii="Arial" w:hAnsi="Arial" w:cs="Arial"/>
        </w:rPr>
        <w:t>nclude only other routes subject to the same application.</w:t>
      </w:r>
    </w:p>
  </w:footnote>
  <w:footnote w:id="24">
    <w:p w14:paraId="548E4047" w14:textId="77777777" w:rsidR="007B7181" w:rsidRPr="00633A7E" w:rsidRDefault="007B7181" w:rsidP="007B7181">
      <w:pPr>
        <w:pStyle w:val="FootnoteText"/>
        <w:rPr>
          <w:rFonts w:ascii="Arial" w:hAnsi="Arial" w:cs="Arial"/>
          <w:i/>
          <w:iCs/>
        </w:rPr>
      </w:pPr>
      <w:r w:rsidRPr="00633A7E">
        <w:rPr>
          <w:rStyle w:val="FootnoteReference"/>
          <w:rFonts w:ascii="Arial" w:hAnsi="Arial" w:cs="Arial"/>
        </w:rPr>
        <w:footnoteRef/>
      </w:r>
      <w:r w:rsidRPr="00633A7E">
        <w:rPr>
          <w:rFonts w:ascii="Arial" w:hAnsi="Arial" w:cs="Arial"/>
        </w:rPr>
        <w:t xml:space="preserve">  David Brooks and Nikolaus Pevsner, </w:t>
      </w:r>
      <w:r w:rsidRPr="00633A7E">
        <w:rPr>
          <w:rFonts w:ascii="Arial" w:hAnsi="Arial" w:cs="Arial"/>
          <w:i/>
          <w:iCs/>
        </w:rPr>
        <w:t xml:space="preserve">The Buildings of England: Gloucestershire 1: The Cotswolds </w:t>
      </w:r>
      <w:r w:rsidRPr="00633A7E">
        <w:rPr>
          <w:rFonts w:ascii="Arial" w:hAnsi="Arial" w:cs="Arial"/>
        </w:rPr>
        <w:t xml:space="preserve">(1976), p.581, give a date of 1885 </w:t>
      </w:r>
      <w:r>
        <w:rPr>
          <w:rFonts w:ascii="Arial" w:hAnsi="Arial" w:cs="Arial"/>
        </w:rPr>
        <w:t>for</w:t>
      </w:r>
      <w:r w:rsidRPr="00633A7E">
        <w:rPr>
          <w:rFonts w:ascii="Arial" w:hAnsi="Arial" w:cs="Arial"/>
        </w:rPr>
        <w:t xml:space="preserve"> the Italianate lodge designed by William Clissold. </w:t>
      </w:r>
      <w:r>
        <w:rPr>
          <w:rFonts w:ascii="Arial" w:hAnsi="Arial" w:cs="Arial"/>
        </w:rPr>
        <w:t>No drive or lodge is shown in the plan in the 1870 particulars and it seems likely the Clissold lodge is the one surveyed in 1882.</w:t>
      </w:r>
    </w:p>
  </w:footnote>
  <w:footnote w:id="25">
    <w:p w14:paraId="7044C20D" w14:textId="6228BE44" w:rsidR="007B7181" w:rsidRPr="00055411" w:rsidRDefault="007B7181" w:rsidP="007B7181">
      <w:pPr>
        <w:pStyle w:val="FootnoteText"/>
        <w:rPr>
          <w:rFonts w:ascii="Arial" w:hAnsi="Arial" w:cs="Arial"/>
        </w:rPr>
      </w:pPr>
      <w:r w:rsidRPr="00055411">
        <w:rPr>
          <w:rStyle w:val="FootnoteReference"/>
          <w:rFonts w:ascii="Arial" w:hAnsi="Arial" w:cs="Arial"/>
        </w:rPr>
        <w:footnoteRef/>
      </w:r>
      <w:r w:rsidRPr="00055411">
        <w:rPr>
          <w:rFonts w:ascii="Arial" w:hAnsi="Arial" w:cs="Arial"/>
        </w:rPr>
        <w:t xml:space="preserve"> The section nearest the A46 </w:t>
      </w:r>
      <w:r w:rsidR="002B2EA9">
        <w:rPr>
          <w:rFonts w:ascii="Arial" w:hAnsi="Arial" w:cs="Arial"/>
        </w:rPr>
        <w:t>is now</w:t>
      </w:r>
      <w:r w:rsidRPr="00055411">
        <w:rPr>
          <w:rFonts w:ascii="Arial" w:hAnsi="Arial" w:cs="Arial"/>
        </w:rPr>
        <w:t xml:space="preserve"> a cul-de-sac (Manor Drive) with a short string of small houses on the north side</w:t>
      </w:r>
      <w:r w:rsidR="004B308D">
        <w:rPr>
          <w:rFonts w:ascii="Arial" w:hAnsi="Arial" w:cs="Arial"/>
        </w:rPr>
        <w:t xml:space="preserve"> built</w:t>
      </w:r>
      <w:r w:rsidRPr="00055411">
        <w:rPr>
          <w:rFonts w:ascii="Arial" w:hAnsi="Arial" w:cs="Arial"/>
        </w:rPr>
        <w:t xml:space="preserve"> in the 1920s/30s (comparison of OS maps). </w:t>
      </w:r>
    </w:p>
  </w:footnote>
  <w:footnote w:id="26">
    <w:p w14:paraId="3AE90AE3" w14:textId="40FD24BD" w:rsidR="00B305E8" w:rsidRPr="006567AF" w:rsidRDefault="00B305E8">
      <w:pPr>
        <w:pStyle w:val="FootnoteText"/>
        <w:rPr>
          <w:rFonts w:ascii="Arial" w:hAnsi="Arial" w:cs="Arial"/>
        </w:rPr>
      </w:pPr>
      <w:r w:rsidRPr="006567AF">
        <w:rPr>
          <w:rStyle w:val="FootnoteReference"/>
          <w:rFonts w:ascii="Arial" w:hAnsi="Arial" w:cs="Arial"/>
        </w:rPr>
        <w:footnoteRef/>
      </w:r>
      <w:r w:rsidRPr="006567AF">
        <w:rPr>
          <w:rFonts w:ascii="Arial" w:hAnsi="Arial" w:cs="Arial"/>
        </w:rPr>
        <w:t xml:space="preserve"> 1870 sale particulars (GA, D846/11/10</w:t>
      </w:r>
      <w:r w:rsidR="00272978">
        <w:rPr>
          <w:rFonts w:ascii="Arial" w:hAnsi="Arial" w:cs="Arial"/>
        </w:rPr>
        <w:t>)</w:t>
      </w:r>
      <w:r w:rsidR="004B308D">
        <w:rPr>
          <w:rFonts w:ascii="Arial" w:hAnsi="Arial" w:cs="Arial"/>
        </w:rPr>
        <w:t>.</w:t>
      </w:r>
    </w:p>
  </w:footnote>
  <w:footnote w:id="27">
    <w:p w14:paraId="60AF4362" w14:textId="68DF9B89" w:rsidR="00B111C2" w:rsidRDefault="00B111C2">
      <w:pPr>
        <w:pStyle w:val="FootnoteText"/>
      </w:pPr>
      <w:r w:rsidRPr="006567AF">
        <w:rPr>
          <w:rStyle w:val="FootnoteReference"/>
          <w:rFonts w:ascii="Arial" w:hAnsi="Arial" w:cs="Arial"/>
        </w:rPr>
        <w:footnoteRef/>
      </w:r>
      <w:r w:rsidRPr="006567AF">
        <w:rPr>
          <w:rFonts w:ascii="Arial" w:hAnsi="Arial" w:cs="Arial"/>
        </w:rPr>
        <w:t xml:space="preserve"> Godfrey </w:t>
      </w:r>
      <w:r w:rsidR="000B2C4C" w:rsidRPr="006567AF">
        <w:rPr>
          <w:rFonts w:ascii="Arial" w:hAnsi="Arial" w:cs="Arial"/>
        </w:rPr>
        <w:t>set up</w:t>
      </w:r>
      <w:r w:rsidRPr="006567AF">
        <w:rPr>
          <w:rFonts w:ascii="Arial" w:hAnsi="Arial" w:cs="Arial"/>
        </w:rPr>
        <w:t xml:space="preserve"> the Gloucester Incubator Co</w:t>
      </w:r>
      <w:r w:rsidR="006567AF" w:rsidRPr="006567AF">
        <w:rPr>
          <w:rFonts w:ascii="Arial" w:hAnsi="Arial" w:cs="Arial"/>
        </w:rPr>
        <w:t xml:space="preserve"> by 1911, initially in Gloucester, but moved it to</w:t>
      </w:r>
      <w:r w:rsidR="00D743B1" w:rsidRPr="006567AF">
        <w:rPr>
          <w:rFonts w:ascii="Arial" w:hAnsi="Arial" w:cs="Arial"/>
        </w:rPr>
        <w:t xml:space="preserve"> Churches Mill in Woodchester by 1919</w:t>
      </w:r>
      <w:r w:rsidR="000B2C4C" w:rsidRPr="006567AF">
        <w:rPr>
          <w:rFonts w:ascii="Arial" w:hAnsi="Arial" w:cs="Arial"/>
        </w:rPr>
        <w:t xml:space="preserve"> and </w:t>
      </w:r>
      <w:r w:rsidR="006567AF" w:rsidRPr="006567AF">
        <w:rPr>
          <w:rFonts w:ascii="Arial" w:hAnsi="Arial" w:cs="Arial"/>
        </w:rPr>
        <w:t xml:space="preserve">later </w:t>
      </w:r>
      <w:r w:rsidR="000B2C4C" w:rsidRPr="006567AF">
        <w:rPr>
          <w:rFonts w:ascii="Arial" w:hAnsi="Arial" w:cs="Arial"/>
        </w:rPr>
        <w:t>expanded into the</w:t>
      </w:r>
      <w:r w:rsidR="00EA6E84">
        <w:rPr>
          <w:rFonts w:ascii="Arial" w:hAnsi="Arial" w:cs="Arial"/>
        </w:rPr>
        <w:t xml:space="preserve"> </w:t>
      </w:r>
      <w:r w:rsidR="000B2C4C" w:rsidRPr="006567AF">
        <w:rPr>
          <w:rFonts w:ascii="Arial" w:hAnsi="Arial" w:cs="Arial"/>
        </w:rPr>
        <w:t>kitchen garden site</w:t>
      </w:r>
      <w:r w:rsidR="00D743B1" w:rsidRPr="006567AF">
        <w:rPr>
          <w:rFonts w:ascii="Arial" w:hAnsi="Arial" w:cs="Arial"/>
        </w:rPr>
        <w:t>.</w:t>
      </w:r>
      <w:r w:rsidR="000B2C4C" w:rsidRPr="006567AF">
        <w:rPr>
          <w:rFonts w:ascii="Arial" w:hAnsi="Arial" w:cs="Arial"/>
        </w:rPr>
        <w:t xml:space="preserve"> </w:t>
      </w:r>
      <w:r w:rsidR="00D743B1" w:rsidRPr="006567AF">
        <w:rPr>
          <w:rFonts w:ascii="Arial" w:hAnsi="Arial" w:cs="Arial"/>
        </w:rPr>
        <w:t>The firm employed c.200 people in the 1930s</w:t>
      </w:r>
      <w:r w:rsidR="000B2C4C" w:rsidRPr="006567AF">
        <w:rPr>
          <w:rFonts w:ascii="Arial" w:hAnsi="Arial" w:cs="Arial"/>
        </w:rPr>
        <w:t xml:space="preserve"> (VCH, op.cit, p.300)</w:t>
      </w:r>
      <w:r w:rsidR="00D743B1" w:rsidRPr="006567AF">
        <w:rPr>
          <w:rFonts w:ascii="Arial" w:hAnsi="Arial" w:cs="Arial"/>
        </w:rPr>
        <w:t>.</w:t>
      </w:r>
      <w:r w:rsidR="00D743B1">
        <w:t xml:space="preserve"> </w:t>
      </w:r>
    </w:p>
  </w:footnote>
  <w:footnote w:id="28">
    <w:p w14:paraId="7FF9A4C9" w14:textId="2F2E11D8" w:rsidR="007705E7" w:rsidRDefault="007705E7">
      <w:pPr>
        <w:pStyle w:val="FootnoteText"/>
      </w:pPr>
      <w:r w:rsidRPr="007705E7">
        <w:rPr>
          <w:rStyle w:val="FootnoteReference"/>
          <w:rFonts w:ascii="Arial" w:hAnsi="Arial" w:cs="Arial"/>
        </w:rPr>
        <w:footnoteRef/>
      </w:r>
      <w:r w:rsidRPr="007705E7">
        <w:rPr>
          <w:rFonts w:ascii="Arial" w:hAnsi="Arial" w:cs="Arial"/>
        </w:rPr>
        <w:t xml:space="preserve"> George Augustus Selwyn, quoted in E A L Moir, </w:t>
      </w:r>
      <w:r w:rsidRPr="007705E7">
        <w:rPr>
          <w:rFonts w:ascii="Arial" w:hAnsi="Arial" w:cs="Arial"/>
          <w:i/>
          <w:iCs/>
        </w:rPr>
        <w:t>Sir George Onesiphorus Paul</w:t>
      </w:r>
      <w:r w:rsidRPr="007705E7">
        <w:rPr>
          <w:rFonts w:ascii="Arial" w:hAnsi="Arial" w:cs="Arial"/>
        </w:rPr>
        <w:t>, in H P R Finberg (ed), Gloucestershire Studies (1957), p.196</w:t>
      </w:r>
      <w:r w:rsidR="000C0EB1">
        <w:rPr>
          <w:rFonts w:ascii="Arial" w:hAnsi="Arial" w:cs="Arial"/>
        </w:rPr>
        <w:t>. The fate of the portraits, if they ever existed, is not known.</w:t>
      </w:r>
    </w:p>
  </w:footnote>
  <w:footnote w:id="29">
    <w:p w14:paraId="475690D3" w14:textId="1EAEC318" w:rsidR="00094CCC" w:rsidRPr="00094CCC" w:rsidRDefault="00094CCC">
      <w:pPr>
        <w:pStyle w:val="FootnoteText"/>
        <w:rPr>
          <w:rFonts w:ascii="Arial" w:hAnsi="Arial" w:cs="Arial"/>
        </w:rPr>
      </w:pPr>
      <w:r w:rsidRPr="00094CCC">
        <w:rPr>
          <w:rStyle w:val="FootnoteReference"/>
          <w:rFonts w:ascii="Arial" w:hAnsi="Arial" w:cs="Arial"/>
        </w:rPr>
        <w:footnoteRef/>
      </w:r>
      <w:r w:rsidRPr="00094CCC">
        <w:rPr>
          <w:rFonts w:ascii="Arial" w:hAnsi="Arial" w:cs="Arial"/>
        </w:rPr>
        <w:t xml:space="preserve"> Ibid, pp.195 -224</w:t>
      </w:r>
      <w:r w:rsidR="00F46415">
        <w:rPr>
          <w:rFonts w:ascii="Arial" w:hAnsi="Arial" w:cs="Arial"/>
        </w:rPr>
        <w:t>.</w:t>
      </w:r>
    </w:p>
  </w:footnote>
  <w:footnote w:id="30">
    <w:p w14:paraId="30E780C7" w14:textId="09687ED0" w:rsidR="00094CCC" w:rsidRDefault="00094CCC">
      <w:pPr>
        <w:pStyle w:val="FootnoteText"/>
      </w:pPr>
      <w:r>
        <w:rPr>
          <w:rStyle w:val="FootnoteReference"/>
        </w:rPr>
        <w:footnoteRef/>
      </w:r>
      <w:r>
        <w:t xml:space="preserve"> </w:t>
      </w:r>
      <w:r w:rsidRPr="000C0EB1">
        <w:rPr>
          <w:rFonts w:ascii="Arial" w:hAnsi="Arial" w:cs="Arial"/>
        </w:rPr>
        <w:t xml:space="preserve">Paul Hawkins Fisher, </w:t>
      </w:r>
      <w:r w:rsidRPr="005D3497">
        <w:rPr>
          <w:rFonts w:ascii="Arial" w:hAnsi="Arial" w:cs="Arial"/>
          <w:i/>
          <w:iCs/>
        </w:rPr>
        <w:t>Notes and Recollections of Stroud, Gloucestershire</w:t>
      </w:r>
      <w:r w:rsidRPr="000C0EB1">
        <w:rPr>
          <w:rFonts w:ascii="Arial" w:hAnsi="Arial" w:cs="Arial"/>
        </w:rPr>
        <w:t xml:space="preserve"> (1871), p.126</w:t>
      </w:r>
    </w:p>
  </w:footnote>
  <w:footnote w:id="31">
    <w:p w14:paraId="6FE6D284" w14:textId="65DDEAD1" w:rsidR="005B01F8" w:rsidRPr="000C0EB1" w:rsidRDefault="005B01F8">
      <w:pPr>
        <w:pStyle w:val="FootnoteText"/>
        <w:rPr>
          <w:rFonts w:ascii="Arial" w:hAnsi="Arial" w:cs="Arial"/>
        </w:rPr>
      </w:pPr>
      <w:r>
        <w:rPr>
          <w:rStyle w:val="FootnoteReference"/>
        </w:rPr>
        <w:footnoteRef/>
      </w:r>
      <w:r>
        <w:t xml:space="preserve"> </w:t>
      </w:r>
      <w:r w:rsidR="000C0EB1" w:rsidRPr="000C0EB1">
        <w:rPr>
          <w:rFonts w:ascii="Arial" w:hAnsi="Arial" w:cs="Arial"/>
        </w:rPr>
        <w:t>J G</w:t>
      </w:r>
      <w:r w:rsidRPr="000C0EB1">
        <w:rPr>
          <w:rFonts w:ascii="Arial" w:hAnsi="Arial" w:cs="Arial"/>
        </w:rPr>
        <w:t xml:space="preserve"> </w:t>
      </w:r>
      <w:r w:rsidR="000C0EB1" w:rsidRPr="000C0EB1">
        <w:rPr>
          <w:rFonts w:ascii="Arial" w:hAnsi="Arial" w:cs="Arial"/>
        </w:rPr>
        <w:t xml:space="preserve">Lockhart, </w:t>
      </w:r>
      <w:r w:rsidR="000C0EB1" w:rsidRPr="005D3497">
        <w:rPr>
          <w:rFonts w:ascii="Arial" w:hAnsi="Arial" w:cs="Arial"/>
          <w:i/>
          <w:iCs/>
        </w:rPr>
        <w:t>The Life of Sir Walter Scott</w:t>
      </w:r>
      <w:r w:rsidR="000C0EB1" w:rsidRPr="000C0EB1">
        <w:rPr>
          <w:rFonts w:ascii="Arial" w:hAnsi="Arial" w:cs="Arial"/>
        </w:rPr>
        <w:t xml:space="preserve"> (1845), pp</w:t>
      </w:r>
      <w:r w:rsidR="00F9120D">
        <w:rPr>
          <w:rFonts w:ascii="Arial" w:hAnsi="Arial" w:cs="Arial"/>
        </w:rPr>
        <w:t>.1</w:t>
      </w:r>
      <w:r w:rsidR="000C0EB1" w:rsidRPr="000C0EB1">
        <w:rPr>
          <w:rFonts w:ascii="Arial" w:hAnsi="Arial" w:cs="Arial"/>
        </w:rPr>
        <w:t>97–9</w:t>
      </w:r>
      <w:r w:rsidR="00F46415">
        <w:rPr>
          <w:rFonts w:ascii="Arial" w:hAnsi="Arial" w:cs="Arial"/>
        </w:rPr>
        <w:t>.</w:t>
      </w:r>
      <w:r w:rsidR="0099088C">
        <w:rPr>
          <w:rFonts w:ascii="Arial" w:hAnsi="Arial" w:cs="Arial"/>
        </w:rPr>
        <w:t xml:space="preserve"> Scott shared Sir George Paul’s interest in the Picturesque, reviewing Uvedale Price’s </w:t>
      </w:r>
      <w:r w:rsidR="0099088C" w:rsidRPr="00CB261D">
        <w:rPr>
          <w:rFonts w:ascii="Arial" w:hAnsi="Arial" w:cs="Arial"/>
          <w:i/>
          <w:iCs/>
        </w:rPr>
        <w:t>Essays on the Picturesque</w:t>
      </w:r>
      <w:r w:rsidR="0099088C">
        <w:rPr>
          <w:rFonts w:ascii="Arial" w:hAnsi="Arial" w:cs="Arial"/>
        </w:rPr>
        <w:t xml:space="preserve"> in the </w:t>
      </w:r>
      <w:r w:rsidR="0099088C" w:rsidRPr="00CB261D">
        <w:rPr>
          <w:rFonts w:ascii="Arial" w:hAnsi="Arial" w:cs="Arial"/>
          <w:i/>
          <w:iCs/>
        </w:rPr>
        <w:t>Quarterl</w:t>
      </w:r>
      <w:r w:rsidR="00CB261D" w:rsidRPr="00CB261D">
        <w:rPr>
          <w:rFonts w:ascii="Arial" w:hAnsi="Arial" w:cs="Arial"/>
          <w:i/>
          <w:iCs/>
        </w:rPr>
        <w:t>y</w:t>
      </w:r>
      <w:r w:rsidR="0099088C" w:rsidRPr="00CB261D">
        <w:rPr>
          <w:rFonts w:ascii="Arial" w:hAnsi="Arial" w:cs="Arial"/>
          <w:i/>
          <w:iCs/>
        </w:rPr>
        <w:t xml:space="preserve"> Review</w:t>
      </w:r>
      <w:r w:rsidR="0099088C">
        <w:rPr>
          <w:rFonts w:ascii="Arial" w:hAnsi="Arial" w:cs="Arial"/>
        </w:rPr>
        <w:t>, November 1810.</w:t>
      </w:r>
    </w:p>
  </w:footnote>
  <w:footnote w:id="32">
    <w:p w14:paraId="60B5BC87" w14:textId="7A610E30" w:rsidR="00D020E5" w:rsidRPr="00F14B8E" w:rsidRDefault="00D020E5">
      <w:pPr>
        <w:pStyle w:val="FootnoteText"/>
        <w:rPr>
          <w:rFonts w:ascii="Arial" w:hAnsi="Arial" w:cs="Arial"/>
        </w:rPr>
      </w:pPr>
      <w:r>
        <w:rPr>
          <w:rStyle w:val="FootnoteReference"/>
        </w:rPr>
        <w:footnoteRef/>
      </w:r>
      <w:r>
        <w:t xml:space="preserve"> </w:t>
      </w:r>
      <w:r w:rsidRPr="00F14B8E">
        <w:rPr>
          <w:rFonts w:ascii="Arial" w:hAnsi="Arial" w:cs="Arial"/>
          <w:i/>
          <w:iCs/>
        </w:rPr>
        <w:t>Dictionary of National Biography</w:t>
      </w:r>
      <w:r w:rsidRPr="00F14B8E">
        <w:rPr>
          <w:rFonts w:ascii="Arial" w:hAnsi="Arial" w:cs="Arial"/>
        </w:rPr>
        <w:t xml:space="preserve">; VCH, op.cit, </w:t>
      </w:r>
      <w:r w:rsidR="00F14B8E" w:rsidRPr="00F14B8E">
        <w:rPr>
          <w:rFonts w:ascii="Arial" w:hAnsi="Arial" w:cs="Arial"/>
        </w:rPr>
        <w:t>p.224; S</w:t>
      </w:r>
      <w:r w:rsidR="00F14B8E">
        <w:rPr>
          <w:rFonts w:ascii="Arial" w:hAnsi="Arial" w:cs="Arial"/>
        </w:rPr>
        <w:t>pencer</w:t>
      </w:r>
      <w:r w:rsidR="00F14B8E" w:rsidRPr="00F14B8E">
        <w:rPr>
          <w:rFonts w:ascii="Arial" w:hAnsi="Arial" w:cs="Arial"/>
        </w:rPr>
        <w:t xml:space="preserve"> Walpole</w:t>
      </w:r>
      <w:r w:rsidR="00F14B8E">
        <w:rPr>
          <w:rFonts w:ascii="Arial" w:hAnsi="Arial" w:cs="Arial"/>
        </w:rPr>
        <w:t>,</w:t>
      </w:r>
      <w:r w:rsidR="00F14B8E" w:rsidRPr="00F14B8E">
        <w:rPr>
          <w:rFonts w:ascii="Arial" w:hAnsi="Arial" w:cs="Arial"/>
          <w:i/>
          <w:iCs/>
        </w:rPr>
        <w:t>The Life of Lord John Russell</w:t>
      </w:r>
      <w:r w:rsidR="00F14B8E" w:rsidRPr="00F14B8E">
        <w:rPr>
          <w:rFonts w:ascii="Arial" w:hAnsi="Arial" w:cs="Arial"/>
        </w:rPr>
        <w:t>, Vol II (2001), p.283</w:t>
      </w:r>
      <w:r w:rsidR="00F46415">
        <w:rPr>
          <w:rFonts w:ascii="Arial" w:hAnsi="Arial" w:cs="Arial"/>
        </w:rPr>
        <w:t>.</w:t>
      </w:r>
    </w:p>
  </w:footnote>
  <w:footnote w:id="33">
    <w:p w14:paraId="09C01337" w14:textId="786A453D" w:rsidR="00F9120D" w:rsidRPr="00F9120D" w:rsidRDefault="00F9120D">
      <w:pPr>
        <w:pStyle w:val="FootnoteText"/>
        <w:rPr>
          <w:rFonts w:ascii="Arial" w:hAnsi="Arial" w:cs="Arial"/>
        </w:rPr>
      </w:pPr>
      <w:r w:rsidRPr="00F9120D">
        <w:rPr>
          <w:rStyle w:val="FootnoteReference"/>
          <w:rFonts w:ascii="Arial" w:hAnsi="Arial" w:cs="Arial"/>
        </w:rPr>
        <w:footnoteRef/>
      </w:r>
      <w:r w:rsidRPr="00F9120D">
        <w:rPr>
          <w:rFonts w:ascii="Arial" w:hAnsi="Arial" w:cs="Arial"/>
        </w:rPr>
        <w:t xml:space="preserve"> VCH, op.cit, p.224</w:t>
      </w:r>
      <w:r w:rsidR="000C5647">
        <w:rPr>
          <w:rFonts w:ascii="Arial" w:hAnsi="Arial" w:cs="Arial"/>
        </w:rPr>
        <w:t xml:space="preserve">. </w:t>
      </w:r>
    </w:p>
  </w:footnote>
  <w:footnote w:id="34">
    <w:p w14:paraId="4E727186" w14:textId="7F72F13A" w:rsidR="005D3497" w:rsidRDefault="005D3497">
      <w:pPr>
        <w:pStyle w:val="FootnoteText"/>
      </w:pPr>
      <w:r w:rsidRPr="00D020E5">
        <w:rPr>
          <w:rStyle w:val="FootnoteReference"/>
          <w:rFonts w:ascii="Arial" w:hAnsi="Arial" w:cs="Arial"/>
        </w:rPr>
        <w:footnoteRef/>
      </w:r>
      <w:r w:rsidR="00D020E5" w:rsidRPr="00D020E5">
        <w:rPr>
          <w:rFonts w:ascii="Arial" w:hAnsi="Arial" w:cs="Arial"/>
        </w:rPr>
        <w:t xml:space="preserve"> </w:t>
      </w:r>
      <w:r w:rsidRPr="00D020E5">
        <w:rPr>
          <w:rFonts w:ascii="Arial" w:hAnsi="Arial" w:cs="Arial"/>
        </w:rPr>
        <w:t xml:space="preserve"> </w:t>
      </w:r>
      <w:r w:rsidR="00D020E5" w:rsidRPr="00D020E5">
        <w:rPr>
          <w:rFonts w:ascii="Arial" w:hAnsi="Arial" w:cs="Arial"/>
          <w:i/>
          <w:iCs/>
        </w:rPr>
        <w:t>Properties of the National Trust</w:t>
      </w:r>
      <w:r w:rsidR="00D020E5" w:rsidRPr="00D020E5">
        <w:rPr>
          <w:rFonts w:ascii="Arial" w:hAnsi="Arial" w:cs="Arial"/>
        </w:rPr>
        <w:t xml:space="preserve"> online version (</w:t>
      </w:r>
      <w:hyperlink r:id="rId9" w:history="1">
        <w:r w:rsidR="00D020E5" w:rsidRPr="00CB261D">
          <w:rPr>
            <w:rStyle w:val="Hyperlink"/>
            <w:rFonts w:ascii="Arial" w:hAnsi="Arial" w:cs="Arial"/>
          </w:rPr>
          <w:t>https://www.nationaltrust.org.uk/features/follow-the-history-of-our-places-with-land-map</w:t>
        </w:r>
      </w:hyperlink>
      <w:r w:rsidR="00D020E5" w:rsidRPr="00D020E5">
        <w:rPr>
          <w:rFonts w:ascii="Arial" w:hAnsi="Arial" w:cs="Arial"/>
        </w:rPr>
        <w:t>)</w:t>
      </w:r>
      <w:r w:rsidR="00CB261D">
        <w:rPr>
          <w:rFonts w:ascii="Arial" w:hAnsi="Arial" w:cs="Arial"/>
        </w:rPr>
        <w:t>,</w:t>
      </w:r>
      <w:r w:rsidR="00D020E5" w:rsidRPr="00D020E5">
        <w:rPr>
          <w:rFonts w:ascii="Arial" w:hAnsi="Arial" w:cs="Arial"/>
        </w:rPr>
        <w:t xml:space="preserve"> accessed 12 July 2021.</w:t>
      </w:r>
      <w:r w:rsidR="00D020E5">
        <w:t xml:space="preserve"> </w:t>
      </w:r>
      <w:r w:rsidR="00F46415" w:rsidRPr="00CB261D">
        <w:rPr>
          <w:rFonts w:ascii="Arial" w:hAnsi="Arial" w:cs="Arial"/>
        </w:rPr>
        <w:t>Blanche appears to have adopted the double-barrelled surname “Lee Godfrey” after the death of her husband (for whom Lee was a forename).</w:t>
      </w:r>
      <w:r w:rsidR="00CB261D">
        <w:rPr>
          <w:rFonts w:ascii="Arial" w:hAnsi="Arial" w:cs="Arial"/>
        </w:rPr>
        <w:t xml:space="preserve"> Blanche is described in the 1939 Register as an “Experimental farmer (retired)”.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F557" w14:textId="7D5E3FD8" w:rsidR="00B65277" w:rsidRDefault="00B65277">
    <w:pPr>
      <w:pStyle w:val="Header"/>
    </w:pPr>
    <w:r>
      <w:ptab w:relativeTo="margin" w:alignment="center" w:leader="none"/>
    </w:r>
    <w:r>
      <w:rPr>
        <w:noProof/>
      </w:rPr>
      <w:drawing>
        <wp:inline distT="0" distB="0" distL="0" distR="0" wp14:anchorId="6A2C838C" wp14:editId="2D96D3FA">
          <wp:extent cx="4395470" cy="1256030"/>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5470" cy="125603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F2"/>
    <w:rsid w:val="00030302"/>
    <w:rsid w:val="00055411"/>
    <w:rsid w:val="00094CCC"/>
    <w:rsid w:val="000A4780"/>
    <w:rsid w:val="000B2C4C"/>
    <w:rsid w:val="000B3E92"/>
    <w:rsid w:val="000C0EB1"/>
    <w:rsid w:val="000C5647"/>
    <w:rsid w:val="000E5FE1"/>
    <w:rsid w:val="000F0DF2"/>
    <w:rsid w:val="001048CE"/>
    <w:rsid w:val="00107FA2"/>
    <w:rsid w:val="00113DE4"/>
    <w:rsid w:val="00153EB8"/>
    <w:rsid w:val="00155188"/>
    <w:rsid w:val="0016329A"/>
    <w:rsid w:val="00196D10"/>
    <w:rsid w:val="001A2C8C"/>
    <w:rsid w:val="001B1544"/>
    <w:rsid w:val="001D06B0"/>
    <w:rsid w:val="00201771"/>
    <w:rsid w:val="00212DC5"/>
    <w:rsid w:val="002616FF"/>
    <w:rsid w:val="00262385"/>
    <w:rsid w:val="00272978"/>
    <w:rsid w:val="002A4431"/>
    <w:rsid w:val="002B2EA9"/>
    <w:rsid w:val="002C1512"/>
    <w:rsid w:val="002D3E1D"/>
    <w:rsid w:val="00305CA1"/>
    <w:rsid w:val="00314DC5"/>
    <w:rsid w:val="00333AB5"/>
    <w:rsid w:val="00347BE0"/>
    <w:rsid w:val="00364B5E"/>
    <w:rsid w:val="0037364B"/>
    <w:rsid w:val="003838F4"/>
    <w:rsid w:val="003B783F"/>
    <w:rsid w:val="003E3644"/>
    <w:rsid w:val="003F6254"/>
    <w:rsid w:val="004070CF"/>
    <w:rsid w:val="00414C79"/>
    <w:rsid w:val="00416DB1"/>
    <w:rsid w:val="0041785B"/>
    <w:rsid w:val="00423C58"/>
    <w:rsid w:val="004274DB"/>
    <w:rsid w:val="004540BE"/>
    <w:rsid w:val="00460A6E"/>
    <w:rsid w:val="004A2C39"/>
    <w:rsid w:val="004B308D"/>
    <w:rsid w:val="004C5F27"/>
    <w:rsid w:val="004D3056"/>
    <w:rsid w:val="004F05E5"/>
    <w:rsid w:val="005041E1"/>
    <w:rsid w:val="0050750A"/>
    <w:rsid w:val="005126FD"/>
    <w:rsid w:val="0052718C"/>
    <w:rsid w:val="00532103"/>
    <w:rsid w:val="00534661"/>
    <w:rsid w:val="00571892"/>
    <w:rsid w:val="005730CF"/>
    <w:rsid w:val="005970B9"/>
    <w:rsid w:val="005A5C4F"/>
    <w:rsid w:val="005B01F8"/>
    <w:rsid w:val="005B4EA6"/>
    <w:rsid w:val="005C137B"/>
    <w:rsid w:val="005D3497"/>
    <w:rsid w:val="00632A74"/>
    <w:rsid w:val="00633A7E"/>
    <w:rsid w:val="00641ED5"/>
    <w:rsid w:val="006567AF"/>
    <w:rsid w:val="00673672"/>
    <w:rsid w:val="006766EC"/>
    <w:rsid w:val="00694CD7"/>
    <w:rsid w:val="006A35D4"/>
    <w:rsid w:val="006B031E"/>
    <w:rsid w:val="006B3298"/>
    <w:rsid w:val="006C1117"/>
    <w:rsid w:val="006C472B"/>
    <w:rsid w:val="006E6F90"/>
    <w:rsid w:val="007116B9"/>
    <w:rsid w:val="00724001"/>
    <w:rsid w:val="007670F0"/>
    <w:rsid w:val="007705E7"/>
    <w:rsid w:val="00775D6F"/>
    <w:rsid w:val="007B14E3"/>
    <w:rsid w:val="007B7181"/>
    <w:rsid w:val="007B7AC9"/>
    <w:rsid w:val="007E76F6"/>
    <w:rsid w:val="0082235D"/>
    <w:rsid w:val="00826C5A"/>
    <w:rsid w:val="008435E6"/>
    <w:rsid w:val="0088041A"/>
    <w:rsid w:val="0088564A"/>
    <w:rsid w:val="00893D3C"/>
    <w:rsid w:val="008C504B"/>
    <w:rsid w:val="008E79CF"/>
    <w:rsid w:val="008F5BDB"/>
    <w:rsid w:val="009378BF"/>
    <w:rsid w:val="00941D8C"/>
    <w:rsid w:val="0095420A"/>
    <w:rsid w:val="0099088C"/>
    <w:rsid w:val="009918E3"/>
    <w:rsid w:val="009D36B0"/>
    <w:rsid w:val="009E19D0"/>
    <w:rsid w:val="00A42CDA"/>
    <w:rsid w:val="00A67D73"/>
    <w:rsid w:val="00AA03C9"/>
    <w:rsid w:val="00AE39AD"/>
    <w:rsid w:val="00B076AD"/>
    <w:rsid w:val="00B111C2"/>
    <w:rsid w:val="00B305E8"/>
    <w:rsid w:val="00B45BFC"/>
    <w:rsid w:val="00B47938"/>
    <w:rsid w:val="00B5232E"/>
    <w:rsid w:val="00B6183E"/>
    <w:rsid w:val="00B65277"/>
    <w:rsid w:val="00B664BB"/>
    <w:rsid w:val="00B92115"/>
    <w:rsid w:val="00BB3B4E"/>
    <w:rsid w:val="00BB616B"/>
    <w:rsid w:val="00BD5E04"/>
    <w:rsid w:val="00C05482"/>
    <w:rsid w:val="00C270DD"/>
    <w:rsid w:val="00C5500E"/>
    <w:rsid w:val="00C6183B"/>
    <w:rsid w:val="00C61F91"/>
    <w:rsid w:val="00C71D02"/>
    <w:rsid w:val="00C76B43"/>
    <w:rsid w:val="00C85EA4"/>
    <w:rsid w:val="00CB261D"/>
    <w:rsid w:val="00CE4AF2"/>
    <w:rsid w:val="00D020E5"/>
    <w:rsid w:val="00D240DE"/>
    <w:rsid w:val="00D31B08"/>
    <w:rsid w:val="00D450A0"/>
    <w:rsid w:val="00D71239"/>
    <w:rsid w:val="00D743B1"/>
    <w:rsid w:val="00D77008"/>
    <w:rsid w:val="00DE58AF"/>
    <w:rsid w:val="00DF2815"/>
    <w:rsid w:val="00DF7F5F"/>
    <w:rsid w:val="00E072E9"/>
    <w:rsid w:val="00E239BE"/>
    <w:rsid w:val="00E60A2B"/>
    <w:rsid w:val="00E65E67"/>
    <w:rsid w:val="00E71C78"/>
    <w:rsid w:val="00E72838"/>
    <w:rsid w:val="00E74EEA"/>
    <w:rsid w:val="00EA5BFC"/>
    <w:rsid w:val="00EA6E84"/>
    <w:rsid w:val="00EB2DE4"/>
    <w:rsid w:val="00ED28CC"/>
    <w:rsid w:val="00EF04EC"/>
    <w:rsid w:val="00F00224"/>
    <w:rsid w:val="00F06C6A"/>
    <w:rsid w:val="00F14B8E"/>
    <w:rsid w:val="00F26F1C"/>
    <w:rsid w:val="00F33CF2"/>
    <w:rsid w:val="00F43CA0"/>
    <w:rsid w:val="00F46415"/>
    <w:rsid w:val="00F90FF0"/>
    <w:rsid w:val="00F9120D"/>
    <w:rsid w:val="00FA0699"/>
    <w:rsid w:val="00FD794D"/>
    <w:rsid w:val="00FE6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BDB93"/>
  <w15:chartTrackingRefBased/>
  <w15:docId w15:val="{69250500-478F-476B-80CB-3B4667FE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33C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3CF2"/>
    <w:rPr>
      <w:sz w:val="20"/>
      <w:szCs w:val="20"/>
    </w:rPr>
  </w:style>
  <w:style w:type="character" w:styleId="FootnoteReference">
    <w:name w:val="footnote reference"/>
    <w:basedOn w:val="DefaultParagraphFont"/>
    <w:uiPriority w:val="99"/>
    <w:semiHidden/>
    <w:unhideWhenUsed/>
    <w:rsid w:val="00F33CF2"/>
    <w:rPr>
      <w:vertAlign w:val="superscript"/>
    </w:rPr>
  </w:style>
  <w:style w:type="character" w:styleId="Hyperlink">
    <w:name w:val="Hyperlink"/>
    <w:basedOn w:val="DefaultParagraphFont"/>
    <w:uiPriority w:val="99"/>
    <w:unhideWhenUsed/>
    <w:rsid w:val="00107FA2"/>
    <w:rPr>
      <w:color w:val="0563C1" w:themeColor="hyperlink"/>
      <w:u w:val="single"/>
    </w:rPr>
  </w:style>
  <w:style w:type="character" w:styleId="UnresolvedMention">
    <w:name w:val="Unresolved Mention"/>
    <w:basedOn w:val="DefaultParagraphFont"/>
    <w:uiPriority w:val="99"/>
    <w:semiHidden/>
    <w:unhideWhenUsed/>
    <w:rsid w:val="00107FA2"/>
    <w:rPr>
      <w:color w:val="605E5C"/>
      <w:shd w:val="clear" w:color="auto" w:fill="E1DFDD"/>
    </w:rPr>
  </w:style>
  <w:style w:type="character" w:styleId="FollowedHyperlink">
    <w:name w:val="FollowedHyperlink"/>
    <w:basedOn w:val="DefaultParagraphFont"/>
    <w:uiPriority w:val="99"/>
    <w:semiHidden/>
    <w:unhideWhenUsed/>
    <w:rsid w:val="00107FA2"/>
    <w:rPr>
      <w:color w:val="954F72" w:themeColor="followedHyperlink"/>
      <w:u w:val="single"/>
    </w:rPr>
  </w:style>
  <w:style w:type="paragraph" w:styleId="Header">
    <w:name w:val="header"/>
    <w:basedOn w:val="Normal"/>
    <w:link w:val="HeaderChar"/>
    <w:uiPriority w:val="99"/>
    <w:unhideWhenUsed/>
    <w:rsid w:val="00C05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482"/>
  </w:style>
  <w:style w:type="paragraph" w:styleId="Footer">
    <w:name w:val="footer"/>
    <w:basedOn w:val="Normal"/>
    <w:link w:val="FooterChar"/>
    <w:uiPriority w:val="99"/>
    <w:unhideWhenUsed/>
    <w:rsid w:val="00C05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482"/>
  </w:style>
  <w:style w:type="character" w:styleId="CommentReference">
    <w:name w:val="annotation reference"/>
    <w:basedOn w:val="DefaultParagraphFont"/>
    <w:uiPriority w:val="99"/>
    <w:semiHidden/>
    <w:unhideWhenUsed/>
    <w:rsid w:val="00673672"/>
    <w:rPr>
      <w:sz w:val="16"/>
      <w:szCs w:val="16"/>
    </w:rPr>
  </w:style>
  <w:style w:type="paragraph" w:styleId="CommentText">
    <w:name w:val="annotation text"/>
    <w:basedOn w:val="Normal"/>
    <w:link w:val="CommentTextChar"/>
    <w:uiPriority w:val="99"/>
    <w:semiHidden/>
    <w:unhideWhenUsed/>
    <w:rsid w:val="00673672"/>
    <w:pPr>
      <w:spacing w:line="240" w:lineRule="auto"/>
    </w:pPr>
    <w:rPr>
      <w:sz w:val="20"/>
      <w:szCs w:val="20"/>
    </w:rPr>
  </w:style>
  <w:style w:type="character" w:customStyle="1" w:styleId="CommentTextChar">
    <w:name w:val="Comment Text Char"/>
    <w:basedOn w:val="DefaultParagraphFont"/>
    <w:link w:val="CommentText"/>
    <w:uiPriority w:val="99"/>
    <w:semiHidden/>
    <w:rsid w:val="00673672"/>
    <w:rPr>
      <w:sz w:val="20"/>
      <w:szCs w:val="20"/>
    </w:rPr>
  </w:style>
  <w:style w:type="paragraph" w:styleId="CommentSubject">
    <w:name w:val="annotation subject"/>
    <w:basedOn w:val="CommentText"/>
    <w:next w:val="CommentText"/>
    <w:link w:val="CommentSubjectChar"/>
    <w:uiPriority w:val="99"/>
    <w:semiHidden/>
    <w:unhideWhenUsed/>
    <w:rsid w:val="00673672"/>
    <w:rPr>
      <w:b/>
      <w:bCs/>
    </w:rPr>
  </w:style>
  <w:style w:type="character" w:customStyle="1" w:styleId="CommentSubjectChar">
    <w:name w:val="Comment Subject Char"/>
    <w:basedOn w:val="CommentTextChar"/>
    <w:link w:val="CommentSubject"/>
    <w:uiPriority w:val="99"/>
    <w:semiHidden/>
    <w:rsid w:val="00673672"/>
    <w:rPr>
      <w:b/>
      <w:bCs/>
      <w:sz w:val="20"/>
      <w:szCs w:val="20"/>
    </w:rPr>
  </w:style>
  <w:style w:type="paragraph" w:styleId="EndnoteText">
    <w:name w:val="endnote text"/>
    <w:basedOn w:val="Normal"/>
    <w:link w:val="EndnoteTextChar"/>
    <w:uiPriority w:val="99"/>
    <w:semiHidden/>
    <w:unhideWhenUsed/>
    <w:rsid w:val="00E072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72E9"/>
    <w:rPr>
      <w:sz w:val="20"/>
      <w:szCs w:val="20"/>
    </w:rPr>
  </w:style>
  <w:style w:type="character" w:styleId="EndnoteReference">
    <w:name w:val="endnote reference"/>
    <w:basedOn w:val="DefaultParagraphFont"/>
    <w:uiPriority w:val="99"/>
    <w:semiHidden/>
    <w:unhideWhenUsed/>
    <w:rsid w:val="00E072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maps.gloucestershire.gov.uk/MapThatPublic/Default.aspx"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glostext.gloucestershire.gov.uk/documents/s28337/Report%20and%20Appendices%20A-E.pdf" TargetMode="External"/><Relationship Id="rId3" Type="http://schemas.openxmlformats.org/officeDocument/2006/relationships/hyperlink" Target="https://maps.nls.uk/os/6inch-england-and-wales/index.html" TargetMode="External"/><Relationship Id="rId7" Type="http://schemas.openxmlformats.org/officeDocument/2006/relationships/hyperlink" Target="https://www.stroud.gov.uk/apps/dcr/3001-4000/3981-3990.pdf" TargetMode="External"/><Relationship Id="rId2" Type="http://schemas.openxmlformats.org/officeDocument/2006/relationships/hyperlink" Target="https://www.metmuseum.org/art/collection/search/386548" TargetMode="External"/><Relationship Id="rId1" Type="http://schemas.openxmlformats.org/officeDocument/2006/relationships/hyperlink" Target="https://ww3.gloucestershire.gov.uk/GROTithe/TitheSearch.aspx" TargetMode="External"/><Relationship Id="rId6" Type="http://schemas.openxmlformats.org/officeDocument/2006/relationships/hyperlink" Target="www.ancestry.co.uk" TargetMode="External"/><Relationship Id="rId5" Type="http://schemas.openxmlformats.org/officeDocument/2006/relationships/hyperlink" Target="http://www.follies.org.uk/pdf/Foll-e%2037%20-%20Stroud.pdf" TargetMode="External"/><Relationship Id="rId4" Type="http://schemas.openxmlformats.org/officeDocument/2006/relationships/hyperlink" Target="https://maps.bristol.gov.uk/kyp/?edition=glos" TargetMode="External"/><Relationship Id="rId9" Type="http://schemas.openxmlformats.org/officeDocument/2006/relationships/hyperlink" Target="https://www.nationaltrust.org.uk/features/follow-the-history-of-our-places-with-land-ma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5B23B-B2EC-4BFF-8851-3FE54754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and Thoss Shearer</dc:creator>
  <cp:keywords/>
  <dc:description/>
  <cp:lastModifiedBy>Mary and Thoss Shearer</cp:lastModifiedBy>
  <cp:revision>13</cp:revision>
  <cp:lastPrinted>2021-08-02T16:13:00Z</cp:lastPrinted>
  <dcterms:created xsi:type="dcterms:W3CDTF">2021-07-18T14:47:00Z</dcterms:created>
  <dcterms:modified xsi:type="dcterms:W3CDTF">2021-10-02T15:57:00Z</dcterms:modified>
</cp:coreProperties>
</file>